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19" w:rsidRDefault="00634B49" w:rsidP="00FD3151">
      <w:pPr>
        <w:pStyle w:val="Title"/>
        <w:rPr>
          <w:sz w:val="28"/>
          <w:szCs w:val="28"/>
        </w:rPr>
      </w:pPr>
      <w:r>
        <w:rPr>
          <w:sz w:val="28"/>
          <w:szCs w:val="28"/>
        </w:rPr>
        <w:t>Geodetic Control</w:t>
      </w:r>
      <w:r w:rsidR="00961A39" w:rsidRPr="00845E9D">
        <w:rPr>
          <w:sz w:val="28"/>
          <w:szCs w:val="28"/>
        </w:rPr>
        <w:t xml:space="preserve"> </w:t>
      </w:r>
      <w:r w:rsidR="0032520A">
        <w:rPr>
          <w:sz w:val="28"/>
          <w:szCs w:val="28"/>
        </w:rPr>
        <w:t>Work</w:t>
      </w:r>
      <w:r w:rsidR="00853286" w:rsidRPr="00845E9D">
        <w:rPr>
          <w:sz w:val="28"/>
          <w:szCs w:val="28"/>
        </w:rPr>
        <w:t xml:space="preserve"> Group</w:t>
      </w:r>
      <w:r w:rsidR="00874E8F">
        <w:rPr>
          <w:sz w:val="28"/>
          <w:szCs w:val="28"/>
        </w:rPr>
        <w:t>,</w:t>
      </w:r>
    </w:p>
    <w:p w:rsidR="00853286" w:rsidRPr="00845E9D" w:rsidRDefault="00874E8F" w:rsidP="00FD3151">
      <w:pPr>
        <w:pStyle w:val="Title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C</w:t>
      </w:r>
      <w:r w:rsidR="006D2C19">
        <w:rPr>
          <w:sz w:val="28"/>
          <w:szCs w:val="28"/>
        </w:rPr>
        <w:t xml:space="preserve">alifornia </w:t>
      </w:r>
      <w:r>
        <w:rPr>
          <w:sz w:val="28"/>
          <w:szCs w:val="28"/>
        </w:rPr>
        <w:t>G</w:t>
      </w:r>
      <w:r w:rsidR="006D2C19">
        <w:rPr>
          <w:sz w:val="28"/>
          <w:szCs w:val="28"/>
        </w:rPr>
        <w:t xml:space="preserve">IS </w:t>
      </w:r>
      <w:r>
        <w:rPr>
          <w:sz w:val="28"/>
          <w:szCs w:val="28"/>
        </w:rPr>
        <w:t>C</w:t>
      </w:r>
      <w:r w:rsidR="006D2C19">
        <w:rPr>
          <w:sz w:val="28"/>
          <w:szCs w:val="28"/>
        </w:rPr>
        <w:t>ouncil</w:t>
      </w:r>
    </w:p>
    <w:p w:rsidR="000F30CF" w:rsidRDefault="00FF49A5" w:rsidP="00FD3151">
      <w:pPr>
        <w:pStyle w:val="Title"/>
        <w:rPr>
          <w:sz w:val="28"/>
          <w:szCs w:val="28"/>
        </w:rPr>
      </w:pPr>
      <w:r w:rsidRPr="00845E9D">
        <w:rPr>
          <w:sz w:val="28"/>
          <w:szCs w:val="28"/>
        </w:rPr>
        <w:t>Charter</w:t>
      </w:r>
    </w:p>
    <w:p w:rsidR="007F0F89" w:rsidRPr="00845E9D" w:rsidRDefault="00634B49" w:rsidP="00FD3151">
      <w:pPr>
        <w:pStyle w:val="Title"/>
        <w:rPr>
          <w:sz w:val="28"/>
          <w:szCs w:val="28"/>
        </w:rPr>
      </w:pPr>
      <w:r>
        <w:rPr>
          <w:sz w:val="28"/>
          <w:szCs w:val="28"/>
        </w:rPr>
        <w:t>DRAFT:</w:t>
      </w:r>
      <w:r w:rsidR="003E5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March </w:t>
      </w:r>
      <w:r w:rsidR="008B1C16">
        <w:rPr>
          <w:sz w:val="28"/>
          <w:szCs w:val="28"/>
        </w:rPr>
        <w:t xml:space="preserve">23, </w:t>
      </w:r>
      <w:r>
        <w:rPr>
          <w:sz w:val="28"/>
          <w:szCs w:val="28"/>
        </w:rPr>
        <w:t>2011</w:t>
      </w:r>
    </w:p>
    <w:p w:rsidR="000F30CF" w:rsidRPr="007D687F" w:rsidRDefault="000F3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588"/>
      </w:tblGrid>
      <w:tr w:rsidR="000F30CF" w:rsidRPr="007D687F" w:rsidTr="00F730BF">
        <w:trPr>
          <w:trHeight w:val="7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F" w:rsidRPr="007D687F" w:rsidRDefault="00634B49" w:rsidP="00634B49">
            <w:r>
              <w:t>Group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5" w:rsidRPr="007D687F" w:rsidRDefault="00AA2DC5">
            <w:pPr>
              <w:rPr>
                <w:rStyle w:val="Strong"/>
                <w:b w:val="0"/>
              </w:rPr>
            </w:pPr>
          </w:p>
          <w:p w:rsidR="000F30CF" w:rsidRPr="007D687F" w:rsidRDefault="0032520A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Geodetic Control Work</w:t>
            </w:r>
            <w:r w:rsidR="00634B49">
              <w:rPr>
                <w:rStyle w:val="Strong"/>
                <w:b w:val="0"/>
              </w:rPr>
              <w:t xml:space="preserve"> Group (GC</w:t>
            </w:r>
            <w:r w:rsidR="00FA3479" w:rsidRPr="007D687F">
              <w:rPr>
                <w:rStyle w:val="Strong"/>
                <w:b w:val="0"/>
              </w:rPr>
              <w:t>WG</w:t>
            </w:r>
            <w:r w:rsidR="00634B49">
              <w:rPr>
                <w:rStyle w:val="Strong"/>
                <w:b w:val="0"/>
              </w:rPr>
              <w:t>), CA GIS Council (CGC)</w:t>
            </w:r>
          </w:p>
          <w:p w:rsidR="00AA2DC5" w:rsidRPr="007D687F" w:rsidRDefault="00AA2DC5">
            <w:pPr>
              <w:rPr>
                <w:b/>
              </w:rPr>
            </w:pPr>
          </w:p>
        </w:tc>
      </w:tr>
      <w:tr w:rsidR="00AC5AB2" w:rsidRPr="007D687F" w:rsidTr="00F730BF">
        <w:trPr>
          <w:trHeight w:val="19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B2" w:rsidRPr="007D687F" w:rsidRDefault="00AC5AB2" w:rsidP="00AA2DC5">
            <w:r>
              <w:t xml:space="preserve">Problem </w:t>
            </w:r>
            <w:r w:rsidRPr="007D687F">
              <w:t>Statement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8" w:rsidRDefault="00B54298" w:rsidP="00B54298">
            <w:pPr>
              <w:rPr>
                <w:rStyle w:val="Strong"/>
                <w:b w:val="0"/>
              </w:rPr>
            </w:pPr>
          </w:p>
          <w:p w:rsidR="00AC5AB2" w:rsidRDefault="00874E8F" w:rsidP="00B54298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</w:t>
            </w:r>
            <w:r w:rsidR="008B1C16">
              <w:rPr>
                <w:rStyle w:val="Strong"/>
                <w:b w:val="0"/>
              </w:rPr>
              <w:t xml:space="preserve"> foundation</w:t>
            </w:r>
            <w:r>
              <w:rPr>
                <w:rStyle w:val="Strong"/>
                <w:b w:val="0"/>
              </w:rPr>
              <w:t xml:space="preserve"> set of geodetic control</w:t>
            </w:r>
            <w:r w:rsidR="00634B49">
              <w:rPr>
                <w:rStyle w:val="Strong"/>
                <w:b w:val="0"/>
              </w:rPr>
              <w:t xml:space="preserve"> monuments and scientific models for </w:t>
            </w:r>
            <w:r w:rsidR="006D2C19">
              <w:rPr>
                <w:rStyle w:val="Strong"/>
                <w:b w:val="0"/>
              </w:rPr>
              <w:t xml:space="preserve">horizontal and vertical </w:t>
            </w:r>
            <w:r w:rsidR="00634B49">
              <w:rPr>
                <w:rStyle w:val="Strong"/>
                <w:b w:val="0"/>
              </w:rPr>
              <w:t>geodetic positioning</w:t>
            </w:r>
            <w:r>
              <w:rPr>
                <w:rStyle w:val="Strong"/>
                <w:b w:val="0"/>
              </w:rPr>
              <w:t xml:space="preserve"> in California </w:t>
            </w:r>
            <w:r w:rsidR="00D270BD">
              <w:rPr>
                <w:rStyle w:val="Strong"/>
                <w:b w:val="0"/>
              </w:rPr>
              <w:t>need</w:t>
            </w:r>
            <w:r w:rsidR="00EA7027">
              <w:rPr>
                <w:rStyle w:val="Strong"/>
                <w:b w:val="0"/>
              </w:rPr>
              <w:t>s</w:t>
            </w:r>
            <w:r w:rsidR="00634B49">
              <w:rPr>
                <w:rStyle w:val="Strong"/>
                <w:b w:val="0"/>
              </w:rPr>
              <w:t xml:space="preserve"> to be defined and</w:t>
            </w:r>
            <w:r>
              <w:rPr>
                <w:rStyle w:val="Strong"/>
                <w:b w:val="0"/>
              </w:rPr>
              <w:t xml:space="preserve"> </w:t>
            </w:r>
            <w:r w:rsidR="006D2C19">
              <w:rPr>
                <w:rStyle w:val="Strong"/>
                <w:b w:val="0"/>
              </w:rPr>
              <w:t xml:space="preserve">subsequently </w:t>
            </w:r>
            <w:r>
              <w:rPr>
                <w:rStyle w:val="Strong"/>
                <w:b w:val="0"/>
              </w:rPr>
              <w:t xml:space="preserve">maintained by a </w:t>
            </w:r>
            <w:r w:rsidR="00B64798">
              <w:rPr>
                <w:rStyle w:val="Strong"/>
                <w:b w:val="0"/>
              </w:rPr>
              <w:t xml:space="preserve">steward </w:t>
            </w:r>
            <w:r>
              <w:rPr>
                <w:rStyle w:val="Strong"/>
                <w:b w:val="0"/>
              </w:rPr>
              <w:t>for utilization in</w:t>
            </w:r>
            <w:r w:rsidR="00634B49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field </w:t>
            </w:r>
            <w:r w:rsidR="00634B49">
              <w:rPr>
                <w:rStyle w:val="Strong"/>
                <w:b w:val="0"/>
              </w:rPr>
              <w:t xml:space="preserve">surveying </w:t>
            </w:r>
            <w:r>
              <w:rPr>
                <w:rStyle w:val="Strong"/>
                <w:b w:val="0"/>
              </w:rPr>
              <w:t>and correct</w:t>
            </w:r>
            <w:r w:rsidR="00634B49">
              <w:rPr>
                <w:rStyle w:val="Strong"/>
                <w:b w:val="0"/>
              </w:rPr>
              <w:t xml:space="preserve"> </w:t>
            </w:r>
            <w:r w:rsidR="007776CF">
              <w:rPr>
                <w:rStyle w:val="Strong"/>
                <w:b w:val="0"/>
              </w:rPr>
              <w:t>align</w:t>
            </w:r>
            <w:r>
              <w:rPr>
                <w:rStyle w:val="Strong"/>
                <w:b w:val="0"/>
              </w:rPr>
              <w:t>ment by</w:t>
            </w:r>
            <w:r w:rsidR="00634B49">
              <w:rPr>
                <w:rStyle w:val="Strong"/>
                <w:b w:val="0"/>
              </w:rPr>
              <w:t xml:space="preserve"> other GIS </w:t>
            </w:r>
            <w:r w:rsidR="007776CF">
              <w:rPr>
                <w:rStyle w:val="Strong"/>
                <w:b w:val="0"/>
              </w:rPr>
              <w:t>themes</w:t>
            </w:r>
            <w:r w:rsidR="009B5101">
              <w:rPr>
                <w:rStyle w:val="Strong"/>
                <w:b w:val="0"/>
              </w:rPr>
              <w:t xml:space="preserve"> identified by the CGC</w:t>
            </w:r>
            <w:r w:rsidR="00634B49">
              <w:rPr>
                <w:rStyle w:val="Strong"/>
                <w:b w:val="0"/>
              </w:rPr>
              <w:t xml:space="preserve">. </w:t>
            </w:r>
          </w:p>
          <w:p w:rsidR="00B54298" w:rsidRPr="007D687F" w:rsidRDefault="00B54298" w:rsidP="00B54298">
            <w:pPr>
              <w:rPr>
                <w:rStyle w:val="Strong"/>
                <w:b w:val="0"/>
              </w:rPr>
            </w:pPr>
          </w:p>
        </w:tc>
      </w:tr>
      <w:tr w:rsidR="000F30CF" w:rsidRPr="007D687F" w:rsidTr="00F73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F" w:rsidRPr="007D687F" w:rsidRDefault="000F30CF" w:rsidP="00AA2DC5">
            <w:r w:rsidRPr="007D687F">
              <w:t>Mission Statement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5" w:rsidRPr="007D687F" w:rsidRDefault="00AA2DC5">
            <w:pPr>
              <w:rPr>
                <w:rStyle w:val="Strong"/>
                <w:b w:val="0"/>
              </w:rPr>
            </w:pPr>
          </w:p>
          <w:p w:rsidR="00D270BD" w:rsidRDefault="00B708E3" w:rsidP="00D270BD">
            <w:pPr>
              <w:adjustRightInd w:val="0"/>
              <w:rPr>
                <w:bCs/>
                <w:iCs/>
              </w:rPr>
            </w:pPr>
            <w:r w:rsidRPr="007D687F">
              <w:t xml:space="preserve">The </w:t>
            </w:r>
            <w:r w:rsidR="00D270BD">
              <w:rPr>
                <w:rStyle w:val="Strong"/>
                <w:b w:val="0"/>
              </w:rPr>
              <w:t>GC</w:t>
            </w:r>
            <w:r w:rsidRPr="00026E04">
              <w:rPr>
                <w:rStyle w:val="Strong"/>
                <w:b w:val="0"/>
              </w:rPr>
              <w:t>WG</w:t>
            </w:r>
            <w:r w:rsidRPr="00026E04">
              <w:rPr>
                <w:bCs/>
                <w:iCs/>
              </w:rPr>
              <w:t xml:space="preserve"> </w:t>
            </w:r>
            <w:r w:rsidR="00D270BD">
              <w:rPr>
                <w:bCs/>
                <w:iCs/>
              </w:rPr>
              <w:t>seeks to:</w:t>
            </w:r>
          </w:p>
          <w:p w:rsidR="00AA2DC5" w:rsidRDefault="00D270BD" w:rsidP="00D270BD">
            <w:pPr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Define the Geodetic Control</w:t>
            </w:r>
            <w:r w:rsidR="00EB7333">
              <w:rPr>
                <w:bCs/>
                <w:iCs/>
              </w:rPr>
              <w:t xml:space="preserve"> (GC)</w:t>
            </w:r>
            <w:r>
              <w:rPr>
                <w:bCs/>
                <w:iCs/>
              </w:rPr>
              <w:t xml:space="preserve"> </w:t>
            </w:r>
            <w:r w:rsidR="008B1C16">
              <w:rPr>
                <w:bCs/>
                <w:iCs/>
              </w:rPr>
              <w:t xml:space="preserve">reference network, and define the </w:t>
            </w:r>
            <w:r>
              <w:rPr>
                <w:bCs/>
                <w:iCs/>
              </w:rPr>
              <w:t xml:space="preserve">framework </w:t>
            </w:r>
            <w:r w:rsidR="007776CF">
              <w:rPr>
                <w:bCs/>
                <w:iCs/>
              </w:rPr>
              <w:t>theme</w:t>
            </w:r>
            <w:r w:rsidR="008B1C16">
              <w:rPr>
                <w:bCs/>
                <w:iCs/>
              </w:rPr>
              <w:t xml:space="preserve"> for the CSDI </w:t>
            </w:r>
            <w:proofErr w:type="spellStart"/>
            <w:r w:rsidR="008B1C16">
              <w:rPr>
                <w:bCs/>
                <w:iCs/>
              </w:rPr>
              <w:t>geodatabase</w:t>
            </w:r>
            <w:proofErr w:type="spellEnd"/>
            <w:r>
              <w:rPr>
                <w:bCs/>
                <w:iCs/>
              </w:rPr>
              <w:t>;</w:t>
            </w:r>
          </w:p>
          <w:p w:rsidR="00D270BD" w:rsidRDefault="008B1C16" w:rsidP="00D270BD">
            <w:pPr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Develop recommendations for their</w:t>
            </w:r>
            <w:r w:rsidR="00D270BD">
              <w:rPr>
                <w:bCs/>
                <w:iCs/>
              </w:rPr>
              <w:t xml:space="preserve"> implementation, operation, maintenance, </w:t>
            </w:r>
            <w:r w:rsidR="007776CF">
              <w:rPr>
                <w:bCs/>
                <w:iCs/>
              </w:rPr>
              <w:t>stewardship</w:t>
            </w:r>
            <w:r>
              <w:rPr>
                <w:bCs/>
                <w:iCs/>
              </w:rPr>
              <w:t>, and funding</w:t>
            </w:r>
            <w:r w:rsidR="00D270BD">
              <w:rPr>
                <w:bCs/>
                <w:iCs/>
              </w:rPr>
              <w:t>; and</w:t>
            </w:r>
          </w:p>
          <w:p w:rsidR="00D270BD" w:rsidRPr="00D270BD" w:rsidRDefault="00D270BD" w:rsidP="00D270BD">
            <w:pPr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Provide guidance for stan</w:t>
            </w:r>
            <w:r w:rsidR="008B1C16">
              <w:rPr>
                <w:bCs/>
                <w:iCs/>
              </w:rPr>
              <w:t>dards and best practices for their</w:t>
            </w:r>
            <w:r>
              <w:rPr>
                <w:bCs/>
                <w:iCs/>
              </w:rPr>
              <w:t xml:space="preserve"> delivery and utilization by the geospatial community</w:t>
            </w:r>
          </w:p>
        </w:tc>
      </w:tr>
      <w:tr w:rsidR="000F30CF" w:rsidRPr="007D687F" w:rsidTr="00F73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F" w:rsidRPr="007D687F" w:rsidRDefault="000F30CF" w:rsidP="00AA2DC5">
            <w:r w:rsidRPr="007D687F">
              <w:t>Vision Statement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A" w:rsidRPr="007D687F" w:rsidRDefault="00BB5A5A" w:rsidP="00C5744A">
            <w:pPr>
              <w:pStyle w:val="ListParagraph"/>
              <w:ind w:left="0"/>
              <w:rPr>
                <w:rFonts w:ascii="Arial" w:hAnsi="Arial" w:cs="Arial"/>
                <w:bCs/>
                <w:iCs/>
              </w:rPr>
            </w:pPr>
          </w:p>
          <w:p w:rsidR="00AA2DC5" w:rsidRPr="00F24EEA" w:rsidRDefault="00EB7333" w:rsidP="00EA7027">
            <w:pPr>
              <w:pStyle w:val="ListParagraph"/>
              <w:ind w:left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The GC </w:t>
            </w:r>
            <w:r w:rsidR="008B1C16">
              <w:rPr>
                <w:rFonts w:ascii="Arial" w:hAnsi="Arial" w:cs="Arial"/>
                <w:bCs/>
                <w:iCs/>
              </w:rPr>
              <w:t xml:space="preserve">reference network consists of </w:t>
            </w:r>
            <w:r w:rsidR="00EA7027">
              <w:rPr>
                <w:rFonts w:ascii="Arial" w:hAnsi="Arial" w:cs="Arial"/>
                <w:bCs/>
                <w:iCs/>
              </w:rPr>
              <w:t>durable</w:t>
            </w:r>
            <w:r w:rsidR="00F07093">
              <w:rPr>
                <w:rFonts w:ascii="Arial" w:hAnsi="Arial" w:cs="Arial"/>
                <w:bCs/>
                <w:iCs/>
              </w:rPr>
              <w:t xml:space="preserve"> monuments, an archive of geodetic data, and the software, models, and technology necessary to </w:t>
            </w:r>
            <w:proofErr w:type="gramStart"/>
            <w:r w:rsidR="00F07093">
              <w:rPr>
                <w:rFonts w:ascii="Arial" w:hAnsi="Arial" w:cs="Arial"/>
                <w:bCs/>
                <w:iCs/>
              </w:rPr>
              <w:t>acquire,</w:t>
            </w:r>
            <w:proofErr w:type="gramEnd"/>
            <w:r w:rsidR="00F07093">
              <w:rPr>
                <w:rFonts w:ascii="Arial" w:hAnsi="Arial" w:cs="Arial"/>
                <w:bCs/>
                <w:iCs/>
              </w:rPr>
              <w:t xml:space="preserve"> process, analyze, refine, and distribute GC data.  The GCFT</w:t>
            </w:r>
            <w:r>
              <w:rPr>
                <w:rFonts w:ascii="Arial" w:hAnsi="Arial" w:cs="Arial"/>
                <w:bCs/>
                <w:iCs/>
              </w:rPr>
              <w:t xml:space="preserve"> will be </w:t>
            </w:r>
            <w:r w:rsidR="00F07093">
              <w:rPr>
                <w:rFonts w:ascii="Arial" w:hAnsi="Arial" w:cs="Arial"/>
                <w:bCs/>
                <w:iCs/>
              </w:rPr>
              <w:t xml:space="preserve">an accurate representation of </w:t>
            </w:r>
            <w:r>
              <w:rPr>
                <w:rFonts w:ascii="Arial" w:hAnsi="Arial" w:cs="Arial"/>
                <w:bCs/>
                <w:iCs/>
              </w:rPr>
              <w:t xml:space="preserve">statewide </w:t>
            </w:r>
            <w:r w:rsidR="00F24EEA">
              <w:rPr>
                <w:rFonts w:ascii="Arial" w:hAnsi="Arial" w:cs="Arial"/>
                <w:bCs/>
                <w:iCs/>
              </w:rPr>
              <w:t xml:space="preserve">geospatial </w:t>
            </w:r>
            <w:r>
              <w:rPr>
                <w:rFonts w:ascii="Arial" w:hAnsi="Arial" w:cs="Arial"/>
                <w:bCs/>
                <w:iCs/>
              </w:rPr>
              <w:t xml:space="preserve">coordinate </w:t>
            </w:r>
            <w:r w:rsidR="00F57EAA">
              <w:rPr>
                <w:rFonts w:ascii="Arial" w:hAnsi="Arial" w:cs="Arial"/>
                <w:bCs/>
                <w:iCs/>
              </w:rPr>
              <w:t xml:space="preserve">and height </w:t>
            </w:r>
            <w:r w:rsidR="00D306A0">
              <w:rPr>
                <w:rFonts w:ascii="Arial" w:hAnsi="Arial" w:cs="Arial"/>
                <w:bCs/>
                <w:iCs/>
              </w:rPr>
              <w:t xml:space="preserve">reference </w:t>
            </w:r>
            <w:r>
              <w:rPr>
                <w:rFonts w:ascii="Arial" w:hAnsi="Arial" w:cs="Arial"/>
                <w:bCs/>
                <w:iCs/>
              </w:rPr>
              <w:t>system</w:t>
            </w:r>
            <w:r w:rsidR="00F07093">
              <w:rPr>
                <w:rFonts w:ascii="Arial" w:hAnsi="Arial" w:cs="Arial"/>
                <w:bCs/>
                <w:iCs/>
              </w:rPr>
              <w:t>s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="00F07093">
              <w:rPr>
                <w:rFonts w:ascii="Arial" w:hAnsi="Arial" w:cs="Arial"/>
                <w:bCs/>
                <w:iCs/>
              </w:rPr>
              <w:t>that adhere</w:t>
            </w:r>
            <w:r>
              <w:rPr>
                <w:rFonts w:ascii="Arial" w:hAnsi="Arial" w:cs="Arial"/>
                <w:bCs/>
                <w:iCs/>
              </w:rPr>
              <w:t xml:space="preserve"> to NSDI</w:t>
            </w:r>
            <w:r w:rsidR="00F24EEA">
              <w:rPr>
                <w:rFonts w:ascii="Arial" w:hAnsi="Arial" w:cs="Arial"/>
                <w:bCs/>
                <w:iCs/>
              </w:rPr>
              <w:t xml:space="preserve"> standards. </w:t>
            </w:r>
            <w:r w:rsidR="00F07093">
              <w:rPr>
                <w:rFonts w:ascii="Arial" w:hAnsi="Arial" w:cs="Arial"/>
                <w:bCs/>
                <w:iCs/>
              </w:rPr>
              <w:t>A</w:t>
            </w:r>
            <w:r w:rsidR="00F24EEA">
              <w:rPr>
                <w:rFonts w:ascii="Arial" w:hAnsi="Arial" w:cs="Arial"/>
                <w:bCs/>
                <w:iCs/>
              </w:rPr>
              <w:t xml:space="preserve"> steward will provide timely updates </w:t>
            </w:r>
            <w:r w:rsidR="00F07093">
              <w:rPr>
                <w:rFonts w:ascii="Arial" w:hAnsi="Arial" w:cs="Arial"/>
                <w:bCs/>
                <w:iCs/>
              </w:rPr>
              <w:t>in response to</w:t>
            </w:r>
            <w:r w:rsidR="00F24EEA">
              <w:rPr>
                <w:rFonts w:ascii="Arial" w:hAnsi="Arial" w:cs="Arial"/>
                <w:bCs/>
                <w:iCs/>
              </w:rPr>
              <w:t xml:space="preserve"> the </w:t>
            </w:r>
            <w:r w:rsidR="00F07093">
              <w:rPr>
                <w:rFonts w:ascii="Arial" w:hAnsi="Arial" w:cs="Arial"/>
                <w:bCs/>
                <w:iCs/>
              </w:rPr>
              <w:t xml:space="preserve">State’s </w:t>
            </w:r>
            <w:r w:rsidR="00EA7027">
              <w:rPr>
                <w:rFonts w:ascii="Arial" w:hAnsi="Arial" w:cs="Arial"/>
                <w:bCs/>
                <w:iCs/>
              </w:rPr>
              <w:t>dynamic</w:t>
            </w:r>
            <w:r w:rsidR="00F24EEA">
              <w:rPr>
                <w:rFonts w:ascii="Arial" w:hAnsi="Arial" w:cs="Arial"/>
                <w:bCs/>
                <w:iCs/>
              </w:rPr>
              <w:t xml:space="preserve"> geological environment</w:t>
            </w:r>
            <w:r w:rsidR="00F07093">
              <w:rPr>
                <w:rFonts w:ascii="Arial" w:hAnsi="Arial" w:cs="Arial"/>
                <w:bCs/>
                <w:iCs/>
              </w:rPr>
              <w:t>,</w:t>
            </w:r>
            <w:r w:rsidR="00F24EEA">
              <w:rPr>
                <w:rFonts w:ascii="Arial" w:hAnsi="Arial" w:cs="Arial"/>
                <w:bCs/>
                <w:iCs/>
              </w:rPr>
              <w:t xml:space="preserve"> and </w:t>
            </w:r>
            <w:r w:rsidR="00995AD1">
              <w:rPr>
                <w:rFonts w:ascii="Arial" w:hAnsi="Arial" w:cs="Arial"/>
                <w:bCs/>
                <w:iCs/>
              </w:rPr>
              <w:t xml:space="preserve">will </w:t>
            </w:r>
            <w:r w:rsidR="00F24EEA">
              <w:rPr>
                <w:rFonts w:ascii="Arial" w:hAnsi="Arial" w:cs="Arial"/>
                <w:bCs/>
                <w:iCs/>
              </w:rPr>
              <w:t>facilitate spatial registration with other GIS themes.</w:t>
            </w:r>
          </w:p>
        </w:tc>
      </w:tr>
      <w:tr w:rsidR="000F30CF" w:rsidRPr="007D687F" w:rsidTr="00F73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F" w:rsidRPr="007D687F" w:rsidRDefault="000F30CF" w:rsidP="00AA2DC5">
            <w:r w:rsidRPr="007D687F">
              <w:t>Authority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C5" w:rsidRPr="007D687F" w:rsidRDefault="00AA2DC5"/>
          <w:p w:rsidR="00607361" w:rsidRPr="007D687F" w:rsidRDefault="002E0C79">
            <w:r w:rsidRPr="007D687F">
              <w:t xml:space="preserve">The </w:t>
            </w:r>
            <w:r w:rsidR="00026E04" w:rsidRPr="00026E04">
              <w:rPr>
                <w:rStyle w:val="Strong"/>
                <w:b w:val="0"/>
              </w:rPr>
              <w:t>G</w:t>
            </w:r>
            <w:r w:rsidR="00C0712A">
              <w:rPr>
                <w:rStyle w:val="Strong"/>
                <w:b w:val="0"/>
              </w:rPr>
              <w:t>C</w:t>
            </w:r>
            <w:r w:rsidR="00026E04" w:rsidRPr="00026E04">
              <w:rPr>
                <w:rStyle w:val="Strong"/>
                <w:b w:val="0"/>
              </w:rPr>
              <w:t>WG</w:t>
            </w:r>
            <w:r w:rsidR="00026E04" w:rsidRPr="00026E04">
              <w:rPr>
                <w:bCs/>
                <w:iCs/>
              </w:rPr>
              <w:t xml:space="preserve"> </w:t>
            </w:r>
            <w:r w:rsidR="009B5101">
              <w:t xml:space="preserve">will report to and receive </w:t>
            </w:r>
            <w:r w:rsidRPr="007D687F">
              <w:t>direction f</w:t>
            </w:r>
            <w:r w:rsidR="007C154E" w:rsidRPr="007D687F">
              <w:t>rom</w:t>
            </w:r>
            <w:r w:rsidR="009B5101">
              <w:t xml:space="preserve"> the CGC</w:t>
            </w:r>
            <w:r w:rsidRPr="007D687F">
              <w:t>.</w:t>
            </w:r>
            <w:r w:rsidR="000B20DA" w:rsidRPr="007D687F">
              <w:t xml:space="preserve"> </w:t>
            </w:r>
            <w:r w:rsidR="00607361" w:rsidRPr="007D687F">
              <w:t xml:space="preserve">The </w:t>
            </w:r>
            <w:r w:rsidR="009B5101">
              <w:t xml:space="preserve">WG </w:t>
            </w:r>
            <w:r w:rsidR="00F57EAA">
              <w:t>is</w:t>
            </w:r>
            <w:r w:rsidR="000B20DA" w:rsidRPr="007D687F">
              <w:t xml:space="preserve"> </w:t>
            </w:r>
            <w:r w:rsidR="00607361" w:rsidRPr="007D687F">
              <w:t xml:space="preserve">empowered to develop recommendations for </w:t>
            </w:r>
            <w:r w:rsidR="009B5101">
              <w:t>technical enactment</w:t>
            </w:r>
            <w:r w:rsidR="006D2C19">
              <w:t>,</w:t>
            </w:r>
            <w:r w:rsidR="009B5101">
              <w:t xml:space="preserve"> </w:t>
            </w:r>
            <w:r w:rsidR="006D2C19">
              <w:t xml:space="preserve">ongoing development, </w:t>
            </w:r>
            <w:r w:rsidR="009B5101">
              <w:t xml:space="preserve">and </w:t>
            </w:r>
            <w:r w:rsidR="00C0615F" w:rsidRPr="007D687F">
              <w:t xml:space="preserve">policy </w:t>
            </w:r>
            <w:r w:rsidR="00F07093">
              <w:t>leadership by appropriate state agencies and partners</w:t>
            </w:r>
            <w:r w:rsidR="009B5101">
              <w:t>.</w:t>
            </w:r>
          </w:p>
          <w:p w:rsidR="00AA2DC5" w:rsidRPr="007D687F" w:rsidRDefault="00AA2DC5"/>
        </w:tc>
      </w:tr>
      <w:tr w:rsidR="000F30CF" w:rsidRPr="007D687F" w:rsidTr="00F73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F" w:rsidRPr="007D687F" w:rsidRDefault="000F30CF" w:rsidP="00AA2DC5">
            <w:r w:rsidRPr="007D687F">
              <w:t>Ownership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CF" w:rsidRPr="007D687F" w:rsidRDefault="009B5101" w:rsidP="009E4C13">
            <w:r>
              <w:t xml:space="preserve">Participants are </w:t>
            </w:r>
            <w:r w:rsidR="008B1C16">
              <w:t>volunteer</w:t>
            </w:r>
            <w:r>
              <w:t xml:space="preserve">ing </w:t>
            </w:r>
            <w:r w:rsidR="008B1C16">
              <w:t xml:space="preserve">their </w:t>
            </w:r>
            <w:r>
              <w:t>time to serve because they recognize the need to develop and maintain an accurate, accessible, and affordable GC</w:t>
            </w:r>
            <w:r w:rsidR="008B1C16">
              <w:t xml:space="preserve"> network and CSDI</w:t>
            </w:r>
            <w:r w:rsidR="002833CF">
              <w:t xml:space="preserve"> theme </w:t>
            </w:r>
            <w:r w:rsidR="008B1C16">
              <w:t>through</w:t>
            </w:r>
            <w:r>
              <w:t xml:space="preserve"> a fiscally secure organization.</w:t>
            </w:r>
          </w:p>
          <w:p w:rsidR="00527FB0" w:rsidRPr="007D687F" w:rsidRDefault="00527FB0" w:rsidP="00527FB0">
            <w:pPr>
              <w:jc w:val="center"/>
            </w:pPr>
          </w:p>
        </w:tc>
      </w:tr>
      <w:tr w:rsidR="000F30CF" w:rsidRPr="007D687F" w:rsidTr="00F73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2D" w:rsidRDefault="0035732D" w:rsidP="00AA2DC5"/>
          <w:p w:rsidR="0035732D" w:rsidRDefault="0035732D" w:rsidP="00AA2DC5"/>
          <w:p w:rsidR="000F30CF" w:rsidRPr="007D687F" w:rsidRDefault="000F30CF" w:rsidP="00AA2DC5">
            <w:r w:rsidRPr="007D687F">
              <w:t>Participants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BF" w:rsidRDefault="00F730BF" w:rsidP="00F730BF"/>
          <w:p w:rsidR="0035732D" w:rsidRDefault="0035732D" w:rsidP="0035732D">
            <w:pPr>
              <w:ind w:left="720"/>
            </w:pPr>
          </w:p>
          <w:p w:rsidR="00451264" w:rsidRDefault="00451264" w:rsidP="0035732D">
            <w:pPr>
              <w:numPr>
                <w:ilvl w:val="0"/>
                <w:numId w:val="26"/>
              </w:numPr>
            </w:pPr>
            <w:r>
              <w:t xml:space="preserve">Marti </w:t>
            </w:r>
            <w:proofErr w:type="spellStart"/>
            <w:r>
              <w:t>Ikehara</w:t>
            </w:r>
            <w:proofErr w:type="spellEnd"/>
            <w:r>
              <w:t xml:space="preserve">, </w:t>
            </w:r>
            <w:r w:rsidRPr="003B6238">
              <w:rPr>
                <w:sz w:val="20"/>
                <w:szCs w:val="20"/>
              </w:rPr>
              <w:t>NOAA’s</w:t>
            </w:r>
            <w:r>
              <w:t xml:space="preserve"> </w:t>
            </w:r>
            <w:r w:rsidRPr="003B6238">
              <w:rPr>
                <w:sz w:val="22"/>
                <w:szCs w:val="22"/>
              </w:rPr>
              <w:t>National Geodetic Survey</w:t>
            </w:r>
            <w:r w:rsidR="003B6238" w:rsidRPr="003B6238">
              <w:rPr>
                <w:sz w:val="22"/>
                <w:szCs w:val="22"/>
              </w:rPr>
              <w:t>,</w:t>
            </w:r>
            <w:r w:rsidR="003B6238">
              <w:t xml:space="preserve"> </w:t>
            </w:r>
            <w:r w:rsidR="003B6238" w:rsidRPr="003B6238">
              <w:rPr>
                <w:sz w:val="22"/>
                <w:szCs w:val="22"/>
              </w:rPr>
              <w:t>Chair</w:t>
            </w:r>
          </w:p>
          <w:p w:rsidR="00451264" w:rsidRDefault="00451264" w:rsidP="00F730BF">
            <w:pPr>
              <w:numPr>
                <w:ilvl w:val="0"/>
                <w:numId w:val="26"/>
              </w:numPr>
            </w:pPr>
            <w:r>
              <w:t xml:space="preserve">Jim </w:t>
            </w:r>
            <w:proofErr w:type="spellStart"/>
            <w:r>
              <w:t>Harcharik</w:t>
            </w:r>
            <w:proofErr w:type="spellEnd"/>
            <w:r>
              <w:t>, Caltrans, Office of Land Surveys</w:t>
            </w:r>
            <w:r w:rsidR="003B6238">
              <w:t>; Chair, Data/Standards Subcommittee</w:t>
            </w:r>
          </w:p>
          <w:p w:rsidR="003B6238" w:rsidRDefault="003B6238" w:rsidP="003B6238">
            <w:pPr>
              <w:numPr>
                <w:ilvl w:val="0"/>
                <w:numId w:val="26"/>
              </w:numPr>
            </w:pPr>
            <w:r>
              <w:t>Mark Turner, Caltrans, Office of Land Surveys; Chair, Strategic Plan Subcommittee</w:t>
            </w:r>
          </w:p>
          <w:p w:rsidR="003B6238" w:rsidRDefault="003B6238" w:rsidP="003B6238">
            <w:pPr>
              <w:numPr>
                <w:ilvl w:val="0"/>
                <w:numId w:val="26"/>
              </w:numPr>
            </w:pPr>
            <w:r>
              <w:t xml:space="preserve">John </w:t>
            </w:r>
            <w:proofErr w:type="spellStart"/>
            <w:r>
              <w:t>Canas</w:t>
            </w:r>
            <w:proofErr w:type="spellEnd"/>
            <w:r>
              <w:t>, CSRC</w:t>
            </w:r>
          </w:p>
          <w:p w:rsidR="003B6238" w:rsidRDefault="003B6238" w:rsidP="003B6238">
            <w:pPr>
              <w:numPr>
                <w:ilvl w:val="0"/>
                <w:numId w:val="26"/>
              </w:numPr>
            </w:pPr>
            <w:r>
              <w:t>Tim Case, CLSA</w:t>
            </w:r>
          </w:p>
          <w:p w:rsidR="003B6238" w:rsidRDefault="003B6238" w:rsidP="003B6238">
            <w:pPr>
              <w:numPr>
                <w:ilvl w:val="0"/>
                <w:numId w:val="26"/>
              </w:numPr>
            </w:pPr>
            <w:r>
              <w:t>Justin Height, ACEC</w:t>
            </w:r>
          </w:p>
          <w:p w:rsidR="003B6238" w:rsidRDefault="003B6238" w:rsidP="003B6238">
            <w:pPr>
              <w:numPr>
                <w:ilvl w:val="0"/>
                <w:numId w:val="26"/>
              </w:numPr>
            </w:pPr>
            <w:r>
              <w:t>B</w:t>
            </w:r>
            <w:r w:rsidR="008B1C16">
              <w:t xml:space="preserve">ruce </w:t>
            </w:r>
            <w:proofErr w:type="spellStart"/>
            <w:r w:rsidR="008B1C16">
              <w:t>Joffe</w:t>
            </w:r>
            <w:proofErr w:type="spellEnd"/>
            <w:r w:rsidR="008B1C16">
              <w:t>, GIS Consultants</w:t>
            </w:r>
          </w:p>
          <w:p w:rsidR="003B6238" w:rsidRDefault="003B6238" w:rsidP="003B6238">
            <w:pPr>
              <w:numPr>
                <w:ilvl w:val="0"/>
                <w:numId w:val="26"/>
              </w:numPr>
            </w:pPr>
            <w:r>
              <w:t>Kevin Kelly, CSRC</w:t>
            </w:r>
          </w:p>
          <w:p w:rsidR="003B6238" w:rsidRDefault="003B6238" w:rsidP="003B6238">
            <w:pPr>
              <w:numPr>
                <w:ilvl w:val="0"/>
                <w:numId w:val="26"/>
              </w:numPr>
            </w:pPr>
            <w:r>
              <w:t>Michael McGee, McGee Surveying</w:t>
            </w:r>
          </w:p>
          <w:p w:rsidR="003B6238" w:rsidRDefault="003B6238" w:rsidP="00F730BF">
            <w:pPr>
              <w:numPr>
                <w:ilvl w:val="0"/>
                <w:numId w:val="26"/>
              </w:numPr>
            </w:pPr>
            <w:proofErr w:type="spellStart"/>
            <w:r>
              <w:t>Ric</w:t>
            </w:r>
            <w:proofErr w:type="spellEnd"/>
            <w:r>
              <w:t xml:space="preserve"> Moore, Board for Professional Engineers, Land Surveyors, and Geologists</w:t>
            </w:r>
          </w:p>
          <w:p w:rsidR="008355B5" w:rsidRDefault="00F5395B" w:rsidP="00D306A0">
            <w:pPr>
              <w:numPr>
                <w:ilvl w:val="0"/>
                <w:numId w:val="26"/>
              </w:numPr>
            </w:pPr>
            <w:proofErr w:type="spellStart"/>
            <w:r>
              <w:t>Reg</w:t>
            </w:r>
            <w:proofErr w:type="spellEnd"/>
            <w:r>
              <w:t xml:space="preserve"> Parks, </w:t>
            </w:r>
            <w:r w:rsidR="00B91D7C">
              <w:t>Santa Rosa Junior College</w:t>
            </w:r>
          </w:p>
          <w:p w:rsidR="003B6238" w:rsidRDefault="003B6238" w:rsidP="003B6238">
            <w:pPr>
              <w:numPr>
                <w:ilvl w:val="0"/>
                <w:numId w:val="26"/>
              </w:numPr>
            </w:pPr>
            <w:r>
              <w:t>Steve Steinhoff, LCSO</w:t>
            </w:r>
          </w:p>
          <w:p w:rsidR="003B6238" w:rsidRPr="007D687F" w:rsidRDefault="003B6238" w:rsidP="003B6238">
            <w:pPr>
              <w:numPr>
                <w:ilvl w:val="0"/>
                <w:numId w:val="26"/>
              </w:numPr>
            </w:pPr>
            <w:r>
              <w:t>Tom Taylor, Caltrans, District 4 Surveys</w:t>
            </w:r>
          </w:p>
        </w:tc>
      </w:tr>
      <w:tr w:rsidR="000F30CF" w:rsidRPr="007D687F" w:rsidTr="00F73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F" w:rsidRPr="007D687F" w:rsidRDefault="009720D0" w:rsidP="00AA2DC5">
            <w:r>
              <w:t>Communication Strategy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D0" w:rsidRPr="007D687F" w:rsidRDefault="009720D0" w:rsidP="008B1C16">
            <w:r>
              <w:t>The GCWG, or the Subcommittees, plan to meet by teleconference every 3-4 weeks.  Minutes will be posted on the GIO’s Work Group wiki website.</w:t>
            </w:r>
            <w:r w:rsidR="00F456EA">
              <w:t xml:space="preserve">  </w:t>
            </w:r>
            <w:r>
              <w:t>Reports will be made to the CGC at each of their meetings or upon request.</w:t>
            </w:r>
          </w:p>
        </w:tc>
      </w:tr>
      <w:tr w:rsidR="000F30CF" w:rsidRPr="007D687F" w:rsidTr="00F73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CF" w:rsidRPr="007D687F" w:rsidRDefault="009720D0" w:rsidP="00AA2DC5">
            <w:r w:rsidRPr="007D687F">
              <w:t>Success Indicators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D0" w:rsidRDefault="009720D0" w:rsidP="009720D0">
            <w:r w:rsidRPr="007D687F">
              <w:t>S</w:t>
            </w:r>
            <w:r>
              <w:t>uccess occurs when:</w:t>
            </w:r>
          </w:p>
          <w:p w:rsidR="009720D0" w:rsidRDefault="009720D0" w:rsidP="009720D0">
            <w:pPr>
              <w:numPr>
                <w:ilvl w:val="0"/>
                <w:numId w:val="35"/>
              </w:numPr>
            </w:pPr>
            <w:r>
              <w:t xml:space="preserve">The GCWG is formalized by crafting a charter and </w:t>
            </w:r>
            <w:proofErr w:type="spellStart"/>
            <w:r>
              <w:t>workplan</w:t>
            </w:r>
            <w:proofErr w:type="spellEnd"/>
            <w:r>
              <w:t xml:space="preserve"> that have been accepted by the CGC; </w:t>
            </w:r>
          </w:p>
          <w:p w:rsidR="009720D0" w:rsidRDefault="009720D0" w:rsidP="009720D0">
            <w:pPr>
              <w:numPr>
                <w:ilvl w:val="0"/>
                <w:numId w:val="35"/>
              </w:numPr>
            </w:pPr>
            <w:r>
              <w:t>The GC data sources</w:t>
            </w:r>
            <w:r w:rsidR="008B1C16">
              <w:t>, GCFT,</w:t>
            </w:r>
            <w:r>
              <w:t xml:space="preserve"> and standards for metadata are defined; </w:t>
            </w:r>
          </w:p>
          <w:p w:rsidR="009720D0" w:rsidRDefault="009720D0" w:rsidP="009720D0">
            <w:pPr>
              <w:numPr>
                <w:ilvl w:val="0"/>
                <w:numId w:val="35"/>
              </w:numPr>
            </w:pPr>
            <w:r>
              <w:t xml:space="preserve">Recommendations are developed that identify </w:t>
            </w:r>
            <w:r w:rsidR="008B1C16">
              <w:t>standards, stewardship, and f</w:t>
            </w:r>
            <w:r>
              <w:t>unding for the establishment</w:t>
            </w:r>
            <w:r w:rsidR="006D2C19">
              <w:t>, implementation,</w:t>
            </w:r>
            <w:r>
              <w:t xml:space="preserve"> and maintenance of </w:t>
            </w:r>
            <w:r w:rsidR="008B1C16">
              <w:t xml:space="preserve">a </w:t>
            </w:r>
            <w:r>
              <w:t>statewide GC</w:t>
            </w:r>
            <w:r w:rsidR="008B1C16">
              <w:t xml:space="preserve"> network</w:t>
            </w:r>
          </w:p>
          <w:p w:rsidR="00F456EA" w:rsidRDefault="00F456EA" w:rsidP="008B1C16">
            <w:pPr>
              <w:numPr>
                <w:ilvl w:val="0"/>
                <w:numId w:val="35"/>
              </w:numPr>
            </w:pPr>
            <w:r>
              <w:t xml:space="preserve">The </w:t>
            </w:r>
            <w:r w:rsidR="008B1C16">
              <w:t>recommendations, in the form of a Strategic Plan and Business Plan are officially adopted by the CGC</w:t>
            </w:r>
          </w:p>
          <w:p w:rsidR="008B1C16" w:rsidRPr="007D687F" w:rsidRDefault="008B1C16" w:rsidP="008B1C16">
            <w:pPr>
              <w:numPr>
                <w:ilvl w:val="0"/>
                <w:numId w:val="35"/>
              </w:numPr>
            </w:pPr>
            <w:r>
              <w:t>Guidance is provided, in the form of policy and technical statements, for utilization and alignment of the GC theme by other themes</w:t>
            </w:r>
          </w:p>
        </w:tc>
      </w:tr>
      <w:tr w:rsidR="003B6238" w:rsidRPr="007D687F" w:rsidTr="00F73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38" w:rsidRPr="007D687F" w:rsidRDefault="003B6238" w:rsidP="006C4886">
            <w:r w:rsidRPr="007D687F">
              <w:t>Co</w:t>
            </w:r>
            <w:r>
              <w:t>ntact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8" w:rsidRDefault="003B6238" w:rsidP="00236492"/>
          <w:p w:rsidR="003B6238" w:rsidRDefault="003B6238" w:rsidP="00134E58">
            <w:r>
              <w:t xml:space="preserve">Marti </w:t>
            </w:r>
            <w:proofErr w:type="spellStart"/>
            <w:r>
              <w:t>Ikehara</w:t>
            </w:r>
            <w:proofErr w:type="spellEnd"/>
            <w:r>
              <w:t>, Geodetic Advisor for CA, NGS</w:t>
            </w:r>
          </w:p>
          <w:p w:rsidR="003B6238" w:rsidRPr="007D687F" w:rsidRDefault="003B6238" w:rsidP="00134E58">
            <w:r>
              <w:t>Marti.ikehara@noaa.gov</w:t>
            </w:r>
          </w:p>
        </w:tc>
      </w:tr>
    </w:tbl>
    <w:p w:rsidR="000F30CF" w:rsidRPr="007D687F" w:rsidRDefault="000F30CF"/>
    <w:p w:rsidR="006D0F00" w:rsidRPr="007D687F" w:rsidRDefault="006D0F00"/>
    <w:p w:rsidR="006D0F00" w:rsidRPr="007D687F" w:rsidRDefault="006D0F00"/>
    <w:p w:rsidR="006D0F00" w:rsidRPr="007D687F" w:rsidRDefault="006D0F00"/>
    <w:sectPr w:rsidR="006D0F00" w:rsidRPr="007D687F" w:rsidSect="00845E9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82" w:rsidRDefault="00AD5982" w:rsidP="006F640E">
      <w:r>
        <w:separator/>
      </w:r>
    </w:p>
  </w:endnote>
  <w:endnote w:type="continuationSeparator" w:id="0">
    <w:p w:rsidR="00AD5982" w:rsidRDefault="00AD5982" w:rsidP="006F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0E" w:rsidRDefault="006F640E">
    <w:pPr>
      <w:pStyle w:val="Footer"/>
      <w:jc w:val="center"/>
    </w:pPr>
    <w:r>
      <w:t xml:space="preserve">Page </w:t>
    </w:r>
    <w:r w:rsidR="00E413E7">
      <w:rPr>
        <w:b/>
      </w:rPr>
      <w:fldChar w:fldCharType="begin"/>
    </w:r>
    <w:r>
      <w:rPr>
        <w:b/>
      </w:rPr>
      <w:instrText xml:space="preserve"> PAGE </w:instrText>
    </w:r>
    <w:r w:rsidR="00E413E7">
      <w:rPr>
        <w:b/>
      </w:rPr>
      <w:fldChar w:fldCharType="separate"/>
    </w:r>
    <w:r w:rsidR="00C334CA">
      <w:rPr>
        <w:b/>
        <w:noProof/>
      </w:rPr>
      <w:t>2</w:t>
    </w:r>
    <w:r w:rsidR="00E413E7">
      <w:rPr>
        <w:b/>
      </w:rPr>
      <w:fldChar w:fldCharType="end"/>
    </w:r>
    <w:r>
      <w:t xml:space="preserve"> of </w:t>
    </w:r>
    <w:r w:rsidR="00E413E7">
      <w:rPr>
        <w:b/>
      </w:rPr>
      <w:fldChar w:fldCharType="begin"/>
    </w:r>
    <w:r>
      <w:rPr>
        <w:b/>
      </w:rPr>
      <w:instrText xml:space="preserve"> NUMPAGES  </w:instrText>
    </w:r>
    <w:r w:rsidR="00E413E7">
      <w:rPr>
        <w:b/>
      </w:rPr>
      <w:fldChar w:fldCharType="separate"/>
    </w:r>
    <w:r w:rsidR="00C334CA">
      <w:rPr>
        <w:b/>
        <w:noProof/>
      </w:rPr>
      <w:t>2</w:t>
    </w:r>
    <w:r w:rsidR="00E413E7">
      <w:rPr>
        <w:b/>
      </w:rPr>
      <w:fldChar w:fldCharType="end"/>
    </w:r>
  </w:p>
  <w:p w:rsidR="006F640E" w:rsidRDefault="006F6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82" w:rsidRDefault="00AD5982" w:rsidP="006F640E">
      <w:r>
        <w:separator/>
      </w:r>
    </w:p>
  </w:footnote>
  <w:footnote w:type="continuationSeparator" w:id="0">
    <w:p w:rsidR="00AD5982" w:rsidRDefault="00AD5982" w:rsidP="006F6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D1" w:rsidRDefault="00995AD1" w:rsidP="00845E9D">
    <w:pPr>
      <w:pStyle w:val="Header"/>
      <w:pBdr>
        <w:bottom w:val="thickThinSmallGap" w:sz="24" w:space="1" w:color="622423"/>
      </w:pBdr>
      <w:jc w:val="center"/>
      <w:rPr>
        <w:b/>
        <w:bCs/>
      </w:rPr>
    </w:pPr>
    <w:r>
      <w:rPr>
        <w:b/>
        <w:bCs/>
      </w:rPr>
      <w:t>Geodetic Control</w:t>
    </w:r>
    <w:r w:rsidR="0032520A">
      <w:rPr>
        <w:b/>
        <w:bCs/>
      </w:rPr>
      <w:t xml:space="preserve"> Work</w:t>
    </w:r>
    <w:r w:rsidR="00845E9D" w:rsidRPr="00845E9D">
      <w:rPr>
        <w:b/>
        <w:bCs/>
      </w:rPr>
      <w:t xml:space="preserve"> Group</w:t>
    </w:r>
    <w:r w:rsidR="00A87A8F">
      <w:rPr>
        <w:b/>
        <w:bCs/>
      </w:rPr>
      <w:t>, CGC</w:t>
    </w:r>
  </w:p>
  <w:p w:rsidR="00845E9D" w:rsidRDefault="0032520A" w:rsidP="00995AD1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>
      <w:rPr>
        <w:b/>
        <w:bCs/>
      </w:rPr>
      <w:t>Charter</w:t>
    </w:r>
  </w:p>
  <w:p w:rsidR="00845E9D" w:rsidRDefault="00845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707"/>
    <w:multiLevelType w:val="hybridMultilevel"/>
    <w:tmpl w:val="9544D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3088"/>
    <w:multiLevelType w:val="hybridMultilevel"/>
    <w:tmpl w:val="D0D61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B69F4"/>
    <w:multiLevelType w:val="hybridMultilevel"/>
    <w:tmpl w:val="B238B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8ABF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D7C0A"/>
    <w:multiLevelType w:val="hybridMultilevel"/>
    <w:tmpl w:val="DA581002"/>
    <w:lvl w:ilvl="0" w:tplc="008EA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145BE"/>
    <w:multiLevelType w:val="hybridMultilevel"/>
    <w:tmpl w:val="EC7AC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37ED7"/>
    <w:multiLevelType w:val="hybridMultilevel"/>
    <w:tmpl w:val="C5A273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5510C"/>
    <w:multiLevelType w:val="multilevel"/>
    <w:tmpl w:val="4118B9D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15AE56A1"/>
    <w:multiLevelType w:val="hybridMultilevel"/>
    <w:tmpl w:val="335A81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70411E"/>
    <w:multiLevelType w:val="hybridMultilevel"/>
    <w:tmpl w:val="E7E82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E1160"/>
    <w:multiLevelType w:val="multilevel"/>
    <w:tmpl w:val="85D0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2200C"/>
    <w:multiLevelType w:val="hybridMultilevel"/>
    <w:tmpl w:val="E2C4F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07F3E"/>
    <w:multiLevelType w:val="multilevel"/>
    <w:tmpl w:val="768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94F1E"/>
    <w:multiLevelType w:val="hybridMultilevel"/>
    <w:tmpl w:val="9544D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6FB8"/>
    <w:multiLevelType w:val="hybridMultilevel"/>
    <w:tmpl w:val="274C10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D66290"/>
    <w:multiLevelType w:val="hybridMultilevel"/>
    <w:tmpl w:val="084C89D6"/>
    <w:lvl w:ilvl="0" w:tplc="12AC8DD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2DBB0A39"/>
    <w:multiLevelType w:val="hybridMultilevel"/>
    <w:tmpl w:val="DA662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C2148D"/>
    <w:multiLevelType w:val="hybridMultilevel"/>
    <w:tmpl w:val="13B6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B27D5"/>
    <w:multiLevelType w:val="hybridMultilevel"/>
    <w:tmpl w:val="383821E0"/>
    <w:lvl w:ilvl="0" w:tplc="9872B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4C489F"/>
    <w:multiLevelType w:val="hybridMultilevel"/>
    <w:tmpl w:val="9C0CF3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251A8"/>
    <w:multiLevelType w:val="hybridMultilevel"/>
    <w:tmpl w:val="904A0BD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385C565E"/>
    <w:multiLevelType w:val="hybridMultilevel"/>
    <w:tmpl w:val="144A9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4271A"/>
    <w:multiLevelType w:val="hybridMultilevel"/>
    <w:tmpl w:val="D0CEF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416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992EDF"/>
    <w:multiLevelType w:val="hybridMultilevel"/>
    <w:tmpl w:val="D8AE25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05D79"/>
    <w:multiLevelType w:val="hybridMultilevel"/>
    <w:tmpl w:val="E7E82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2C6341"/>
    <w:multiLevelType w:val="hybridMultilevel"/>
    <w:tmpl w:val="1D967D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E5B7A"/>
    <w:multiLevelType w:val="hybridMultilevel"/>
    <w:tmpl w:val="78586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47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B1F4A"/>
    <w:multiLevelType w:val="multilevel"/>
    <w:tmpl w:val="144A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74A7E"/>
    <w:multiLevelType w:val="hybridMultilevel"/>
    <w:tmpl w:val="DA662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767E87"/>
    <w:multiLevelType w:val="hybridMultilevel"/>
    <w:tmpl w:val="82D497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22470"/>
    <w:multiLevelType w:val="multilevel"/>
    <w:tmpl w:val="013E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A6294"/>
    <w:multiLevelType w:val="hybridMultilevel"/>
    <w:tmpl w:val="169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8789F"/>
    <w:multiLevelType w:val="multilevel"/>
    <w:tmpl w:val="ECB0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526BB9"/>
    <w:multiLevelType w:val="multilevel"/>
    <w:tmpl w:val="F0080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E625BCE"/>
    <w:multiLevelType w:val="multilevel"/>
    <w:tmpl w:val="1D967D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0"/>
  </w:num>
  <w:num w:numId="5">
    <w:abstractNumId w:val="11"/>
  </w:num>
  <w:num w:numId="6">
    <w:abstractNumId w:val="19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6"/>
  </w:num>
  <w:num w:numId="12">
    <w:abstractNumId w:val="10"/>
  </w:num>
  <w:num w:numId="13">
    <w:abstractNumId w:val="29"/>
  </w:num>
  <w:num w:numId="14">
    <w:abstractNumId w:val="13"/>
  </w:num>
  <w:num w:numId="15">
    <w:abstractNumId w:val="32"/>
  </w:num>
  <w:num w:numId="1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3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3"/>
  </w:num>
  <w:num w:numId="25">
    <w:abstractNumId w:val="18"/>
  </w:num>
  <w:num w:numId="26">
    <w:abstractNumId w:val="22"/>
  </w:num>
  <w:num w:numId="27">
    <w:abstractNumId w:val="5"/>
  </w:num>
  <w:num w:numId="28">
    <w:abstractNumId w:val="28"/>
  </w:num>
  <w:num w:numId="29">
    <w:abstractNumId w:val="30"/>
  </w:num>
  <w:num w:numId="30">
    <w:abstractNumId w:val="16"/>
  </w:num>
  <w:num w:numId="31">
    <w:abstractNumId w:val="27"/>
  </w:num>
  <w:num w:numId="32">
    <w:abstractNumId w:val="1"/>
  </w:num>
  <w:num w:numId="33">
    <w:abstractNumId w:val="8"/>
  </w:num>
  <w:num w:numId="34">
    <w:abstractNumId w:val="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CF"/>
    <w:rsid w:val="00026E04"/>
    <w:rsid w:val="00042362"/>
    <w:rsid w:val="000502E6"/>
    <w:rsid w:val="00052C7E"/>
    <w:rsid w:val="000571BF"/>
    <w:rsid w:val="00066B10"/>
    <w:rsid w:val="00081ADF"/>
    <w:rsid w:val="00082DB8"/>
    <w:rsid w:val="00091511"/>
    <w:rsid w:val="000A230D"/>
    <w:rsid w:val="000B0BD1"/>
    <w:rsid w:val="000B20DA"/>
    <w:rsid w:val="000D2AB4"/>
    <w:rsid w:val="000E55EE"/>
    <w:rsid w:val="000F30CF"/>
    <w:rsid w:val="001255E9"/>
    <w:rsid w:val="00132019"/>
    <w:rsid w:val="001341F0"/>
    <w:rsid w:val="00134E58"/>
    <w:rsid w:val="00135FDC"/>
    <w:rsid w:val="001729DD"/>
    <w:rsid w:val="00174E67"/>
    <w:rsid w:val="00186A0B"/>
    <w:rsid w:val="00192F1D"/>
    <w:rsid w:val="001A54FD"/>
    <w:rsid w:val="001C77E3"/>
    <w:rsid w:val="001D0E04"/>
    <w:rsid w:val="0020384C"/>
    <w:rsid w:val="00210306"/>
    <w:rsid w:val="00231DEF"/>
    <w:rsid w:val="00236492"/>
    <w:rsid w:val="0026410C"/>
    <w:rsid w:val="00275DE3"/>
    <w:rsid w:val="002833CF"/>
    <w:rsid w:val="002A003D"/>
    <w:rsid w:val="002A3F71"/>
    <w:rsid w:val="002A7159"/>
    <w:rsid w:val="002E0C79"/>
    <w:rsid w:val="002E1BCC"/>
    <w:rsid w:val="00303CBA"/>
    <w:rsid w:val="0032520A"/>
    <w:rsid w:val="00342383"/>
    <w:rsid w:val="0035732D"/>
    <w:rsid w:val="0036380C"/>
    <w:rsid w:val="00366361"/>
    <w:rsid w:val="003777D2"/>
    <w:rsid w:val="00385F67"/>
    <w:rsid w:val="003A1E97"/>
    <w:rsid w:val="003A7FEC"/>
    <w:rsid w:val="003B6238"/>
    <w:rsid w:val="003C3E3C"/>
    <w:rsid w:val="003E5B9F"/>
    <w:rsid w:val="003F3D56"/>
    <w:rsid w:val="004108FF"/>
    <w:rsid w:val="00417059"/>
    <w:rsid w:val="00451264"/>
    <w:rsid w:val="00464418"/>
    <w:rsid w:val="004923E1"/>
    <w:rsid w:val="004D25F7"/>
    <w:rsid w:val="004E1032"/>
    <w:rsid w:val="004E4AC0"/>
    <w:rsid w:val="004E5F89"/>
    <w:rsid w:val="00502993"/>
    <w:rsid w:val="0050466C"/>
    <w:rsid w:val="005137F3"/>
    <w:rsid w:val="00522DEE"/>
    <w:rsid w:val="00527FB0"/>
    <w:rsid w:val="00531C85"/>
    <w:rsid w:val="00531EA8"/>
    <w:rsid w:val="00534402"/>
    <w:rsid w:val="005436E8"/>
    <w:rsid w:val="00543A18"/>
    <w:rsid w:val="00546CE2"/>
    <w:rsid w:val="0054744F"/>
    <w:rsid w:val="00553F56"/>
    <w:rsid w:val="005610C8"/>
    <w:rsid w:val="005727D7"/>
    <w:rsid w:val="005756DC"/>
    <w:rsid w:val="00591BB5"/>
    <w:rsid w:val="005A60BC"/>
    <w:rsid w:val="005A7DBA"/>
    <w:rsid w:val="005B09E9"/>
    <w:rsid w:val="005B45EC"/>
    <w:rsid w:val="005B7B68"/>
    <w:rsid w:val="005E1F18"/>
    <w:rsid w:val="0060630A"/>
    <w:rsid w:val="00607361"/>
    <w:rsid w:val="00614142"/>
    <w:rsid w:val="00614816"/>
    <w:rsid w:val="0062379F"/>
    <w:rsid w:val="00633D36"/>
    <w:rsid w:val="00634B49"/>
    <w:rsid w:val="00643B1D"/>
    <w:rsid w:val="00645B0A"/>
    <w:rsid w:val="00647870"/>
    <w:rsid w:val="00647E12"/>
    <w:rsid w:val="006742F7"/>
    <w:rsid w:val="00677723"/>
    <w:rsid w:val="006805E4"/>
    <w:rsid w:val="0068260E"/>
    <w:rsid w:val="00692AA9"/>
    <w:rsid w:val="0069626D"/>
    <w:rsid w:val="006A00CD"/>
    <w:rsid w:val="006A53FF"/>
    <w:rsid w:val="006C4886"/>
    <w:rsid w:val="006D0F00"/>
    <w:rsid w:val="006D2C19"/>
    <w:rsid w:val="006D3569"/>
    <w:rsid w:val="006D7A48"/>
    <w:rsid w:val="006F640E"/>
    <w:rsid w:val="0070236D"/>
    <w:rsid w:val="0070415F"/>
    <w:rsid w:val="00710F4E"/>
    <w:rsid w:val="007111C2"/>
    <w:rsid w:val="007323F6"/>
    <w:rsid w:val="00740669"/>
    <w:rsid w:val="007776CF"/>
    <w:rsid w:val="007956FC"/>
    <w:rsid w:val="007C154E"/>
    <w:rsid w:val="007D687F"/>
    <w:rsid w:val="007E0F5D"/>
    <w:rsid w:val="007F0F89"/>
    <w:rsid w:val="007F6422"/>
    <w:rsid w:val="008176BE"/>
    <w:rsid w:val="00825CA5"/>
    <w:rsid w:val="008355B5"/>
    <w:rsid w:val="00845E9D"/>
    <w:rsid w:val="008527E5"/>
    <w:rsid w:val="00853286"/>
    <w:rsid w:val="008556CA"/>
    <w:rsid w:val="008623FE"/>
    <w:rsid w:val="0087060B"/>
    <w:rsid w:val="008728C8"/>
    <w:rsid w:val="00874E8F"/>
    <w:rsid w:val="00877D88"/>
    <w:rsid w:val="008840C2"/>
    <w:rsid w:val="00887492"/>
    <w:rsid w:val="00895E96"/>
    <w:rsid w:val="008A0FA6"/>
    <w:rsid w:val="008A722D"/>
    <w:rsid w:val="008B1C16"/>
    <w:rsid w:val="008B6AD4"/>
    <w:rsid w:val="008B76CB"/>
    <w:rsid w:val="008D2440"/>
    <w:rsid w:val="008D33AA"/>
    <w:rsid w:val="008E7516"/>
    <w:rsid w:val="0091214D"/>
    <w:rsid w:val="0091362A"/>
    <w:rsid w:val="00960D08"/>
    <w:rsid w:val="00961A39"/>
    <w:rsid w:val="009720D0"/>
    <w:rsid w:val="00981AC8"/>
    <w:rsid w:val="0098637E"/>
    <w:rsid w:val="00987834"/>
    <w:rsid w:val="00987CF7"/>
    <w:rsid w:val="00995AD1"/>
    <w:rsid w:val="009A13AA"/>
    <w:rsid w:val="009B0747"/>
    <w:rsid w:val="009B5101"/>
    <w:rsid w:val="009C61AF"/>
    <w:rsid w:val="009D3A94"/>
    <w:rsid w:val="009D4DC2"/>
    <w:rsid w:val="009D5E36"/>
    <w:rsid w:val="009E2B80"/>
    <w:rsid w:val="009E4C13"/>
    <w:rsid w:val="009E75F9"/>
    <w:rsid w:val="00A03792"/>
    <w:rsid w:val="00A1546C"/>
    <w:rsid w:val="00A16099"/>
    <w:rsid w:val="00A23EAF"/>
    <w:rsid w:val="00A42966"/>
    <w:rsid w:val="00A443DC"/>
    <w:rsid w:val="00A51E71"/>
    <w:rsid w:val="00A53AB9"/>
    <w:rsid w:val="00A75916"/>
    <w:rsid w:val="00A85CDF"/>
    <w:rsid w:val="00A871CB"/>
    <w:rsid w:val="00A87A8F"/>
    <w:rsid w:val="00A9080E"/>
    <w:rsid w:val="00A97FFB"/>
    <w:rsid w:val="00AA2DC5"/>
    <w:rsid w:val="00AA5AEA"/>
    <w:rsid w:val="00AC0BBB"/>
    <w:rsid w:val="00AC5AB2"/>
    <w:rsid w:val="00AC6DED"/>
    <w:rsid w:val="00AD5982"/>
    <w:rsid w:val="00AE2E6E"/>
    <w:rsid w:val="00AF728E"/>
    <w:rsid w:val="00B0025C"/>
    <w:rsid w:val="00B0084B"/>
    <w:rsid w:val="00B03D7C"/>
    <w:rsid w:val="00B241D2"/>
    <w:rsid w:val="00B33B16"/>
    <w:rsid w:val="00B45C65"/>
    <w:rsid w:val="00B523D4"/>
    <w:rsid w:val="00B54298"/>
    <w:rsid w:val="00B568A6"/>
    <w:rsid w:val="00B628F9"/>
    <w:rsid w:val="00B64798"/>
    <w:rsid w:val="00B708E3"/>
    <w:rsid w:val="00B76F27"/>
    <w:rsid w:val="00B85CEA"/>
    <w:rsid w:val="00B91D7C"/>
    <w:rsid w:val="00B95507"/>
    <w:rsid w:val="00B95F03"/>
    <w:rsid w:val="00B9685C"/>
    <w:rsid w:val="00BA01AF"/>
    <w:rsid w:val="00BA5B41"/>
    <w:rsid w:val="00BB5A5A"/>
    <w:rsid w:val="00BF2EBE"/>
    <w:rsid w:val="00C00EEF"/>
    <w:rsid w:val="00C040DB"/>
    <w:rsid w:val="00C0615F"/>
    <w:rsid w:val="00C0712A"/>
    <w:rsid w:val="00C24896"/>
    <w:rsid w:val="00C314C7"/>
    <w:rsid w:val="00C334CA"/>
    <w:rsid w:val="00C510DE"/>
    <w:rsid w:val="00C51739"/>
    <w:rsid w:val="00C51DD9"/>
    <w:rsid w:val="00C5744A"/>
    <w:rsid w:val="00C66B08"/>
    <w:rsid w:val="00C903DE"/>
    <w:rsid w:val="00C908FF"/>
    <w:rsid w:val="00C960FA"/>
    <w:rsid w:val="00CA4EA2"/>
    <w:rsid w:val="00CB2CB0"/>
    <w:rsid w:val="00CB3256"/>
    <w:rsid w:val="00CC0B31"/>
    <w:rsid w:val="00CF3AEE"/>
    <w:rsid w:val="00D153B4"/>
    <w:rsid w:val="00D21C9B"/>
    <w:rsid w:val="00D270BD"/>
    <w:rsid w:val="00D306A0"/>
    <w:rsid w:val="00D37759"/>
    <w:rsid w:val="00D37CF0"/>
    <w:rsid w:val="00D55FB3"/>
    <w:rsid w:val="00D71FD9"/>
    <w:rsid w:val="00D76981"/>
    <w:rsid w:val="00D831AA"/>
    <w:rsid w:val="00D835E0"/>
    <w:rsid w:val="00D912BC"/>
    <w:rsid w:val="00D976E3"/>
    <w:rsid w:val="00DB094C"/>
    <w:rsid w:val="00DC26EE"/>
    <w:rsid w:val="00DC6D6F"/>
    <w:rsid w:val="00DD257E"/>
    <w:rsid w:val="00DE3A5C"/>
    <w:rsid w:val="00E24CCA"/>
    <w:rsid w:val="00E3065C"/>
    <w:rsid w:val="00E314A9"/>
    <w:rsid w:val="00E413E7"/>
    <w:rsid w:val="00E43497"/>
    <w:rsid w:val="00E63BF2"/>
    <w:rsid w:val="00E6682F"/>
    <w:rsid w:val="00EA5C84"/>
    <w:rsid w:val="00EA7027"/>
    <w:rsid w:val="00EA75C3"/>
    <w:rsid w:val="00EA7707"/>
    <w:rsid w:val="00EB3924"/>
    <w:rsid w:val="00EB7333"/>
    <w:rsid w:val="00EC237C"/>
    <w:rsid w:val="00EC3B22"/>
    <w:rsid w:val="00EE00B0"/>
    <w:rsid w:val="00F07093"/>
    <w:rsid w:val="00F103F9"/>
    <w:rsid w:val="00F24EEA"/>
    <w:rsid w:val="00F456EA"/>
    <w:rsid w:val="00F46167"/>
    <w:rsid w:val="00F51CDA"/>
    <w:rsid w:val="00F5395B"/>
    <w:rsid w:val="00F53C14"/>
    <w:rsid w:val="00F56F5C"/>
    <w:rsid w:val="00F57225"/>
    <w:rsid w:val="00F57EAA"/>
    <w:rsid w:val="00F64D46"/>
    <w:rsid w:val="00F70250"/>
    <w:rsid w:val="00F730BF"/>
    <w:rsid w:val="00F750F5"/>
    <w:rsid w:val="00F97FF1"/>
    <w:rsid w:val="00FA3479"/>
    <w:rsid w:val="00FA3AA2"/>
    <w:rsid w:val="00FB303D"/>
    <w:rsid w:val="00FB7948"/>
    <w:rsid w:val="00FC6C99"/>
    <w:rsid w:val="00FD24B9"/>
    <w:rsid w:val="00FD3151"/>
    <w:rsid w:val="00FD3BC3"/>
    <w:rsid w:val="00FF49A5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1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B1D"/>
    <w:pPr>
      <w:jc w:val="center"/>
    </w:pPr>
    <w:rPr>
      <w:b/>
      <w:bCs/>
    </w:rPr>
  </w:style>
  <w:style w:type="character" w:styleId="Strong">
    <w:name w:val="Strong"/>
    <w:basedOn w:val="DefaultParagraphFont"/>
    <w:qFormat/>
    <w:rsid w:val="00FA34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FE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EC"/>
    <w:rPr>
      <w:b/>
      <w:bCs/>
    </w:rPr>
  </w:style>
  <w:style w:type="paragraph" w:styleId="ListParagraph">
    <w:name w:val="List Paragraph"/>
    <w:basedOn w:val="Normal"/>
    <w:uiPriority w:val="34"/>
    <w:qFormat/>
    <w:rsid w:val="00C5744A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F6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40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40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7C00-AC0D-47F0-A9CB-2C4DC574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Coastal and Marine Geospatial Working Group                               Project Charter and Work Plan</vt:lpstr>
    </vt:vector>
  </TitlesOfParts>
  <Company>State of California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Coastal and Marine Geospatial Working Group                               Project Charter and Work Plan</dc:title>
  <dc:subject/>
  <dc:creator>John Ellison</dc:creator>
  <cp:keywords/>
  <cp:lastModifiedBy>s139664</cp:lastModifiedBy>
  <cp:revision>2</cp:revision>
  <cp:lastPrinted>2011-03-23T20:28:00Z</cp:lastPrinted>
  <dcterms:created xsi:type="dcterms:W3CDTF">2012-12-04T18:42:00Z</dcterms:created>
  <dcterms:modified xsi:type="dcterms:W3CDTF">2012-12-04T18:42:00Z</dcterms:modified>
</cp:coreProperties>
</file>