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8" w:type="dxa"/>
        <w:tblBorders>
          <w:top w:val="single" w:sz="6" w:space="0" w:color="E3E3E3"/>
          <w:left w:val="single" w:sz="6" w:space="0" w:color="E3E3E3"/>
          <w:bottom w:val="single" w:sz="6" w:space="0" w:color="E3E3E3"/>
          <w:right w:val="single" w:sz="6" w:space="0" w:color="E3E3E3"/>
        </w:tblBorders>
        <w:shd w:val="clear" w:color="auto" w:fill="FFFFFF"/>
        <w:tblCellMar>
          <w:left w:w="0" w:type="dxa"/>
          <w:right w:w="0" w:type="dxa"/>
        </w:tblCellMar>
        <w:tblLook w:val="04A0" w:firstRow="1" w:lastRow="0" w:firstColumn="1" w:lastColumn="0" w:noHBand="0" w:noVBand="1"/>
      </w:tblPr>
      <w:tblGrid>
        <w:gridCol w:w="1972"/>
        <w:gridCol w:w="8136"/>
      </w:tblGrid>
      <w:tr w:rsidR="00D80027" w:rsidRPr="009A6A04" w:rsidTr="000A3297">
        <w:tc>
          <w:tcPr>
            <w:tcW w:w="10108" w:type="dxa"/>
            <w:gridSpan w:val="2"/>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D80027" w:rsidRDefault="00D80027" w:rsidP="00D80027">
            <w:pPr>
              <w:spacing w:after="0"/>
              <w:jc w:val="center"/>
              <w:rPr>
                <w:b/>
                <w:sz w:val="28"/>
              </w:rPr>
            </w:pPr>
            <w:r>
              <w:rPr>
                <w:b/>
                <w:sz w:val="28"/>
              </w:rPr>
              <w:t>Charter of the</w:t>
            </w:r>
          </w:p>
          <w:p w:rsidR="00D80027" w:rsidRPr="00D80027" w:rsidRDefault="00D80027" w:rsidP="00D80027">
            <w:pPr>
              <w:spacing w:after="0"/>
              <w:jc w:val="center"/>
              <w:rPr>
                <w:b/>
                <w:sz w:val="28"/>
              </w:rPr>
            </w:pPr>
            <w:r w:rsidRPr="00D80027">
              <w:rPr>
                <w:b/>
                <w:sz w:val="28"/>
              </w:rPr>
              <w:t xml:space="preserve">Digital Land Records Information </w:t>
            </w:r>
            <w:r w:rsidR="006111B4">
              <w:rPr>
                <w:b/>
                <w:sz w:val="28"/>
              </w:rPr>
              <w:t xml:space="preserve">(DLRI) </w:t>
            </w:r>
            <w:r w:rsidRPr="00D80027">
              <w:rPr>
                <w:b/>
                <w:sz w:val="28"/>
              </w:rPr>
              <w:t>Work</w:t>
            </w:r>
            <w:r w:rsidR="006111B4">
              <w:rPr>
                <w:b/>
                <w:sz w:val="28"/>
              </w:rPr>
              <w:t>ing</w:t>
            </w:r>
            <w:r w:rsidRPr="00D80027">
              <w:rPr>
                <w:b/>
                <w:sz w:val="28"/>
              </w:rPr>
              <w:t xml:space="preserve"> Group</w:t>
            </w:r>
          </w:p>
          <w:p w:rsidR="00D80027" w:rsidRPr="00D80027" w:rsidRDefault="00D80027" w:rsidP="00D80027">
            <w:pPr>
              <w:spacing w:after="0"/>
              <w:jc w:val="center"/>
              <w:rPr>
                <w:b/>
                <w:sz w:val="28"/>
              </w:rPr>
            </w:pPr>
            <w:r w:rsidRPr="00D80027">
              <w:rPr>
                <w:b/>
                <w:sz w:val="28"/>
              </w:rPr>
              <w:t>Of the California GIS Council (Council)</w:t>
            </w:r>
          </w:p>
        </w:tc>
      </w:tr>
      <w:tr w:rsidR="009A6A04" w:rsidRPr="009A6A04" w:rsidTr="00D80027">
        <w:tc>
          <w:tcPr>
            <w:tcW w:w="1972"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9A6A04" w:rsidRPr="006111B4" w:rsidRDefault="009A6A04" w:rsidP="00D80027">
            <w:pPr>
              <w:spacing w:after="0"/>
              <w:rPr>
                <w:b/>
                <w:sz w:val="24"/>
                <w:szCs w:val="24"/>
              </w:rPr>
            </w:pPr>
            <w:r w:rsidRPr="006111B4">
              <w:rPr>
                <w:b/>
                <w:sz w:val="24"/>
                <w:szCs w:val="24"/>
              </w:rPr>
              <w:t>Problem Statement</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bottom"/>
            <w:hideMark/>
          </w:tcPr>
          <w:p w:rsidR="006668F9" w:rsidRPr="006111B4" w:rsidRDefault="006668F9" w:rsidP="006668F9">
            <w:pPr>
              <w:spacing w:after="0"/>
              <w:rPr>
                <w:rFonts w:cs="Arial"/>
                <w:sz w:val="24"/>
                <w:szCs w:val="24"/>
              </w:rPr>
            </w:pPr>
            <w:r w:rsidRPr="006111B4">
              <w:rPr>
                <w:rFonts w:cs="Arial"/>
                <w:sz w:val="24"/>
                <w:szCs w:val="24"/>
              </w:rPr>
              <w:t xml:space="preserve">The California GIS Council has long identified digital land records (parcel, cadastral) data layer as being one of the basic GIS layers needed by all levels of government for effective communication and interoperability within the individual government entities and across jurisdictions.  In fact, the 2006 California Geospatial Framework Draft Data Plan identified Cadastral as the </w:t>
            </w:r>
            <w:r w:rsidRPr="006111B4">
              <w:rPr>
                <w:rFonts w:cs="Arial"/>
                <w:b/>
                <w:i/>
                <w:sz w:val="24"/>
                <w:szCs w:val="24"/>
              </w:rPr>
              <w:t>highest priority dataset</w:t>
            </w:r>
            <w:r w:rsidRPr="006111B4">
              <w:rPr>
                <w:rFonts w:cs="Arial"/>
                <w:sz w:val="24"/>
                <w:szCs w:val="24"/>
              </w:rPr>
              <w:t xml:space="preserve"> from the National Spatial Data Infrastructure (NSDI).</w:t>
            </w:r>
          </w:p>
          <w:p w:rsidR="00F1318D" w:rsidRPr="006111B4" w:rsidRDefault="00F1318D" w:rsidP="009A6A04">
            <w:pPr>
              <w:spacing w:after="0"/>
              <w:rPr>
                <w:rFonts w:cs="Arial"/>
                <w:sz w:val="24"/>
                <w:szCs w:val="24"/>
              </w:rPr>
            </w:pPr>
          </w:p>
          <w:p w:rsidR="00F1318D" w:rsidRPr="006111B4" w:rsidRDefault="006668F9" w:rsidP="009A6A04">
            <w:pPr>
              <w:spacing w:after="0"/>
              <w:rPr>
                <w:rFonts w:cs="Arial"/>
                <w:sz w:val="24"/>
                <w:szCs w:val="24"/>
              </w:rPr>
            </w:pPr>
            <w:r w:rsidRPr="006111B4">
              <w:rPr>
                <w:rFonts w:cs="Arial"/>
                <w:sz w:val="24"/>
                <w:szCs w:val="24"/>
              </w:rPr>
              <w:t>There is currently no complete and publicly available cadastral dataset for California, due to various restrictions and issues, both legal, technical, and budgetary.</w:t>
            </w:r>
          </w:p>
          <w:p w:rsidR="00F1318D" w:rsidRPr="006111B4" w:rsidRDefault="00F1318D" w:rsidP="009A6A04">
            <w:pPr>
              <w:spacing w:after="0"/>
              <w:rPr>
                <w:rFonts w:cs="Arial"/>
                <w:sz w:val="24"/>
                <w:szCs w:val="24"/>
              </w:rPr>
            </w:pPr>
          </w:p>
          <w:p w:rsidR="009A6A04" w:rsidRPr="006111B4" w:rsidRDefault="006668F9" w:rsidP="009A6A04">
            <w:pPr>
              <w:spacing w:after="0"/>
              <w:rPr>
                <w:rFonts w:cs="Arial"/>
                <w:sz w:val="24"/>
                <w:szCs w:val="24"/>
              </w:rPr>
            </w:pPr>
            <w:r w:rsidRPr="006111B4">
              <w:rPr>
                <w:rFonts w:cs="Arial"/>
                <w:sz w:val="24"/>
                <w:szCs w:val="24"/>
              </w:rPr>
              <w:t>It is the goal of the DLRI Working Group to determine the current status of a statewide cadastral dataset, identify the benefits of and impediments to creating such a dataset, and develop strategies that could lead to the creation of such a dataset.</w:t>
            </w:r>
          </w:p>
        </w:tc>
      </w:tr>
      <w:tr w:rsidR="009A6A04" w:rsidRPr="009A6A04" w:rsidTr="00D80027">
        <w:tc>
          <w:tcPr>
            <w:tcW w:w="1972"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9A6A04" w:rsidRPr="006111B4" w:rsidRDefault="009A6A04" w:rsidP="00D80027">
            <w:pPr>
              <w:spacing w:after="0"/>
              <w:rPr>
                <w:b/>
                <w:sz w:val="24"/>
                <w:szCs w:val="24"/>
              </w:rPr>
            </w:pPr>
            <w:r w:rsidRPr="006111B4">
              <w:rPr>
                <w:b/>
                <w:sz w:val="24"/>
                <w:szCs w:val="24"/>
              </w:rPr>
              <w:t>Mission Statement</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bottom"/>
            <w:hideMark/>
          </w:tcPr>
          <w:p w:rsidR="006668F9" w:rsidRPr="006111B4" w:rsidRDefault="006668F9" w:rsidP="009A6A04">
            <w:pPr>
              <w:spacing w:after="0"/>
              <w:rPr>
                <w:sz w:val="24"/>
                <w:szCs w:val="24"/>
              </w:rPr>
            </w:pPr>
            <w:r w:rsidRPr="006111B4">
              <w:rPr>
                <w:sz w:val="24"/>
                <w:szCs w:val="24"/>
              </w:rPr>
              <w:t>The DLRI Working group will:</w:t>
            </w:r>
          </w:p>
          <w:p w:rsidR="006668F9" w:rsidRPr="006111B4" w:rsidRDefault="006668F9" w:rsidP="009A6A04">
            <w:pPr>
              <w:spacing w:after="0"/>
              <w:rPr>
                <w:sz w:val="24"/>
                <w:szCs w:val="24"/>
              </w:rPr>
            </w:pPr>
          </w:p>
          <w:p w:rsidR="006668F9" w:rsidRPr="006111B4" w:rsidRDefault="00F1318D" w:rsidP="006668F9">
            <w:pPr>
              <w:pStyle w:val="ListParagraph"/>
              <w:numPr>
                <w:ilvl w:val="0"/>
                <w:numId w:val="3"/>
              </w:numPr>
              <w:spacing w:after="0"/>
              <w:rPr>
                <w:sz w:val="24"/>
                <w:szCs w:val="24"/>
              </w:rPr>
            </w:pPr>
            <w:r w:rsidRPr="006111B4">
              <w:rPr>
                <w:sz w:val="24"/>
                <w:szCs w:val="24"/>
              </w:rPr>
              <w:t xml:space="preserve">Identify </w:t>
            </w:r>
            <w:r w:rsidR="006668F9" w:rsidRPr="006111B4">
              <w:rPr>
                <w:sz w:val="24"/>
                <w:szCs w:val="24"/>
              </w:rPr>
              <w:t>the benefits of developing a complete, accurate, and up to date cadastral dataset for California,</w:t>
            </w:r>
          </w:p>
          <w:p w:rsidR="006668F9" w:rsidRPr="006111B4" w:rsidRDefault="006668F9" w:rsidP="006668F9">
            <w:pPr>
              <w:pStyle w:val="ListParagraph"/>
              <w:numPr>
                <w:ilvl w:val="0"/>
                <w:numId w:val="3"/>
              </w:numPr>
              <w:spacing w:after="0"/>
              <w:rPr>
                <w:sz w:val="24"/>
                <w:szCs w:val="24"/>
              </w:rPr>
            </w:pPr>
            <w:r w:rsidRPr="006111B4">
              <w:rPr>
                <w:sz w:val="24"/>
                <w:szCs w:val="24"/>
              </w:rPr>
              <w:t>Identify costs of not sharing cadastral data,</w:t>
            </w:r>
          </w:p>
          <w:p w:rsidR="006668F9" w:rsidRPr="006111B4" w:rsidRDefault="006668F9" w:rsidP="006668F9">
            <w:pPr>
              <w:pStyle w:val="ListParagraph"/>
              <w:numPr>
                <w:ilvl w:val="0"/>
                <w:numId w:val="3"/>
              </w:numPr>
              <w:spacing w:after="0"/>
              <w:rPr>
                <w:sz w:val="24"/>
                <w:szCs w:val="24"/>
              </w:rPr>
            </w:pPr>
            <w:r w:rsidRPr="006111B4">
              <w:rPr>
                <w:sz w:val="24"/>
                <w:szCs w:val="24"/>
              </w:rPr>
              <w:t xml:space="preserve">Identify </w:t>
            </w:r>
            <w:r w:rsidR="00302030">
              <w:rPr>
                <w:sz w:val="24"/>
                <w:szCs w:val="24"/>
              </w:rPr>
              <w:t xml:space="preserve">legal and financial </w:t>
            </w:r>
            <w:r w:rsidRPr="006111B4">
              <w:rPr>
                <w:sz w:val="24"/>
                <w:szCs w:val="24"/>
              </w:rPr>
              <w:t>barriers to the development of such a dataset</w:t>
            </w:r>
            <w:r w:rsidR="00D80027" w:rsidRPr="006111B4">
              <w:rPr>
                <w:sz w:val="24"/>
                <w:szCs w:val="24"/>
              </w:rPr>
              <w:t xml:space="preserve"> </w:t>
            </w:r>
            <w:r w:rsidR="00302030">
              <w:rPr>
                <w:sz w:val="24"/>
                <w:szCs w:val="24"/>
              </w:rPr>
              <w:t>and recommend solutions.</w:t>
            </w:r>
          </w:p>
          <w:p w:rsidR="00D80027" w:rsidRPr="006111B4" w:rsidRDefault="00D80027" w:rsidP="006668F9">
            <w:pPr>
              <w:pStyle w:val="ListParagraph"/>
              <w:numPr>
                <w:ilvl w:val="0"/>
                <w:numId w:val="3"/>
              </w:numPr>
              <w:spacing w:after="0"/>
              <w:rPr>
                <w:sz w:val="24"/>
                <w:szCs w:val="24"/>
              </w:rPr>
            </w:pPr>
            <w:r w:rsidRPr="006111B4">
              <w:rPr>
                <w:rFonts w:cs="Arial"/>
                <w:sz w:val="24"/>
                <w:szCs w:val="24"/>
              </w:rPr>
              <w:t>Make policy recommendations to improve accessibility and integration of parcel information to improve interoperability of local, state, and federal government in California.</w:t>
            </w:r>
          </w:p>
          <w:p w:rsidR="00F1318D" w:rsidRPr="006111B4" w:rsidRDefault="006668F9" w:rsidP="00D80027">
            <w:pPr>
              <w:pStyle w:val="ListParagraph"/>
              <w:numPr>
                <w:ilvl w:val="0"/>
                <w:numId w:val="3"/>
              </w:numPr>
              <w:spacing w:after="0"/>
              <w:rPr>
                <w:sz w:val="24"/>
                <w:szCs w:val="24"/>
              </w:rPr>
            </w:pPr>
            <w:r w:rsidRPr="006111B4">
              <w:rPr>
                <w:sz w:val="24"/>
                <w:szCs w:val="24"/>
              </w:rPr>
              <w:t xml:space="preserve">Identify </w:t>
            </w:r>
            <w:r w:rsidR="00D80027" w:rsidRPr="006111B4">
              <w:rPr>
                <w:sz w:val="24"/>
                <w:szCs w:val="24"/>
              </w:rPr>
              <w:t xml:space="preserve">strategies and potential methods for creating such a dataset, including </w:t>
            </w:r>
            <w:r w:rsidR="00F1318D" w:rsidRPr="006111B4">
              <w:rPr>
                <w:sz w:val="24"/>
                <w:szCs w:val="24"/>
              </w:rPr>
              <w:t xml:space="preserve">best practices </w:t>
            </w:r>
            <w:r w:rsidR="00D80027" w:rsidRPr="006111B4">
              <w:rPr>
                <w:sz w:val="24"/>
                <w:szCs w:val="24"/>
              </w:rPr>
              <w:t>and standards for accuracy</w:t>
            </w:r>
            <w:r w:rsidR="00F1318D" w:rsidRPr="006111B4">
              <w:rPr>
                <w:sz w:val="24"/>
                <w:szCs w:val="24"/>
              </w:rPr>
              <w:t xml:space="preserve">, metadata, </w:t>
            </w:r>
            <w:r w:rsidR="00D80027" w:rsidRPr="006111B4">
              <w:rPr>
                <w:sz w:val="24"/>
                <w:szCs w:val="24"/>
              </w:rPr>
              <w:t xml:space="preserve">attributes, </w:t>
            </w:r>
            <w:r w:rsidR="00F1318D" w:rsidRPr="006111B4">
              <w:rPr>
                <w:sz w:val="24"/>
                <w:szCs w:val="24"/>
              </w:rPr>
              <w:t>update cy</w:t>
            </w:r>
            <w:r w:rsidRPr="006111B4">
              <w:rPr>
                <w:sz w:val="24"/>
                <w:szCs w:val="24"/>
              </w:rPr>
              <w:t xml:space="preserve">cles, </w:t>
            </w:r>
            <w:r w:rsidR="00D80027" w:rsidRPr="006111B4">
              <w:rPr>
                <w:sz w:val="24"/>
                <w:szCs w:val="24"/>
              </w:rPr>
              <w:t>and distribution methodologies, as well as identifying stewards.</w:t>
            </w:r>
          </w:p>
          <w:p w:rsidR="00F1318D" w:rsidRPr="006111B4" w:rsidRDefault="00F1318D" w:rsidP="009A6A04">
            <w:pPr>
              <w:spacing w:after="0"/>
              <w:rPr>
                <w:sz w:val="24"/>
                <w:szCs w:val="24"/>
              </w:rPr>
            </w:pPr>
          </w:p>
        </w:tc>
      </w:tr>
      <w:tr w:rsidR="009A6A04" w:rsidRPr="009A6A04" w:rsidTr="00D80027">
        <w:tc>
          <w:tcPr>
            <w:tcW w:w="1972"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9A6A04" w:rsidRPr="006111B4" w:rsidRDefault="009A6A04" w:rsidP="00D80027">
            <w:pPr>
              <w:spacing w:after="0"/>
              <w:rPr>
                <w:b/>
                <w:sz w:val="24"/>
                <w:szCs w:val="24"/>
              </w:rPr>
            </w:pPr>
            <w:r w:rsidRPr="006111B4">
              <w:rPr>
                <w:b/>
                <w:sz w:val="24"/>
                <w:szCs w:val="24"/>
              </w:rPr>
              <w:lastRenderedPageBreak/>
              <w:t>Authority</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bottom"/>
            <w:hideMark/>
          </w:tcPr>
          <w:p w:rsidR="00D80027" w:rsidRPr="00CE1FE4" w:rsidRDefault="00D80027" w:rsidP="00E34556">
            <w:pPr>
              <w:spacing w:after="0"/>
              <w:rPr>
                <w:rFonts w:cs="Arial"/>
                <w:color w:val="000000"/>
                <w:sz w:val="24"/>
                <w:szCs w:val="24"/>
                <w:shd w:val="clear" w:color="auto" w:fill="FFFFFF"/>
              </w:rPr>
            </w:pPr>
            <w:r w:rsidRPr="006111B4">
              <w:rPr>
                <w:rFonts w:cs="Arial"/>
                <w:color w:val="000000"/>
                <w:sz w:val="24"/>
                <w:szCs w:val="24"/>
                <w:shd w:val="clear" w:color="auto" w:fill="FFFFFF"/>
              </w:rPr>
              <w:t xml:space="preserve">The DLRI Working Group (DLRI) will report to and receive direction from the Council. The </w:t>
            </w:r>
            <w:r w:rsidR="00302030">
              <w:rPr>
                <w:rFonts w:cs="Arial"/>
                <w:color w:val="000000"/>
                <w:sz w:val="24"/>
                <w:szCs w:val="24"/>
                <w:shd w:val="clear" w:color="auto" w:fill="FFFFFF"/>
              </w:rPr>
              <w:t>DLRI</w:t>
            </w:r>
            <w:r w:rsidRPr="006111B4">
              <w:rPr>
                <w:rFonts w:cs="Arial"/>
                <w:color w:val="000000"/>
                <w:sz w:val="24"/>
                <w:szCs w:val="24"/>
                <w:shd w:val="clear" w:color="auto" w:fill="FFFFFF"/>
              </w:rPr>
              <w:t xml:space="preserve"> </w:t>
            </w:r>
            <w:r w:rsidR="00E34556">
              <w:rPr>
                <w:rFonts w:cs="Arial"/>
                <w:color w:val="000000"/>
                <w:sz w:val="24"/>
                <w:szCs w:val="24"/>
                <w:shd w:val="clear" w:color="auto" w:fill="FFFFFF"/>
              </w:rPr>
              <w:t xml:space="preserve">will </w:t>
            </w:r>
            <w:r w:rsidRPr="006111B4">
              <w:rPr>
                <w:rFonts w:cs="Arial"/>
                <w:color w:val="000000"/>
                <w:sz w:val="24"/>
                <w:szCs w:val="24"/>
                <w:shd w:val="clear" w:color="auto" w:fill="FFFFFF"/>
              </w:rPr>
              <w:t xml:space="preserve">develop recommendations, priorities, </w:t>
            </w:r>
            <w:r w:rsidR="00E34556">
              <w:rPr>
                <w:rFonts w:cs="Arial"/>
                <w:color w:val="000000"/>
                <w:sz w:val="24"/>
                <w:szCs w:val="24"/>
                <w:shd w:val="clear" w:color="auto" w:fill="FFFFFF"/>
              </w:rPr>
              <w:t>best practices, and standards</w:t>
            </w:r>
            <w:r w:rsidRPr="006111B4">
              <w:rPr>
                <w:rFonts w:cs="Arial"/>
                <w:color w:val="000000"/>
                <w:sz w:val="24"/>
                <w:szCs w:val="24"/>
                <w:shd w:val="clear" w:color="auto" w:fill="FFFFFF"/>
              </w:rPr>
              <w:t xml:space="preserve">, and </w:t>
            </w:r>
            <w:r w:rsidR="00E34556">
              <w:rPr>
                <w:rFonts w:cs="Arial"/>
                <w:color w:val="000000"/>
                <w:sz w:val="24"/>
                <w:szCs w:val="24"/>
                <w:shd w:val="clear" w:color="auto" w:fill="FFFFFF"/>
              </w:rPr>
              <w:t xml:space="preserve">request their adoption by </w:t>
            </w:r>
            <w:r w:rsidRPr="006111B4">
              <w:rPr>
                <w:rFonts w:cs="Arial"/>
                <w:color w:val="000000"/>
                <w:sz w:val="24"/>
                <w:szCs w:val="24"/>
                <w:shd w:val="clear" w:color="auto" w:fill="FFFFFF"/>
              </w:rPr>
              <w:t xml:space="preserve">the Council.  </w:t>
            </w:r>
          </w:p>
        </w:tc>
      </w:tr>
      <w:tr w:rsidR="009A6A04" w:rsidRPr="009A6A04" w:rsidTr="00D80027">
        <w:tc>
          <w:tcPr>
            <w:tcW w:w="1972"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9A6A04" w:rsidRPr="006111B4" w:rsidRDefault="009A6A04" w:rsidP="00D80027">
            <w:pPr>
              <w:spacing w:after="0"/>
              <w:rPr>
                <w:b/>
                <w:sz w:val="24"/>
                <w:szCs w:val="24"/>
              </w:rPr>
            </w:pPr>
            <w:r w:rsidRPr="006111B4">
              <w:rPr>
                <w:b/>
                <w:sz w:val="24"/>
                <w:szCs w:val="24"/>
              </w:rPr>
              <w:t>Ownership</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bottom"/>
            <w:hideMark/>
          </w:tcPr>
          <w:p w:rsidR="009A6A04" w:rsidRPr="006111B4" w:rsidRDefault="00D80027" w:rsidP="00D80027">
            <w:pPr>
              <w:spacing w:after="0"/>
              <w:rPr>
                <w:sz w:val="24"/>
                <w:szCs w:val="24"/>
              </w:rPr>
            </w:pPr>
            <w:r w:rsidRPr="006111B4">
              <w:rPr>
                <w:rFonts w:cs="Arial"/>
                <w:color w:val="000000"/>
                <w:sz w:val="24"/>
                <w:szCs w:val="24"/>
                <w:shd w:val="clear" w:color="auto" w:fill="FFFFFF"/>
              </w:rPr>
              <w:t xml:space="preserve">Participants volunteer their time to serve because they recognize the need to develop and maintain a statewide cadastral dataset.  </w:t>
            </w:r>
          </w:p>
        </w:tc>
      </w:tr>
      <w:tr w:rsidR="009A6A04" w:rsidRPr="009A6A04" w:rsidTr="00D80027">
        <w:tc>
          <w:tcPr>
            <w:tcW w:w="1972"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9A6A04" w:rsidRPr="006111B4" w:rsidRDefault="009A6A04" w:rsidP="00D80027">
            <w:pPr>
              <w:spacing w:after="0"/>
              <w:rPr>
                <w:b/>
                <w:sz w:val="24"/>
                <w:szCs w:val="24"/>
              </w:rPr>
            </w:pPr>
            <w:r w:rsidRPr="006111B4">
              <w:rPr>
                <w:b/>
                <w:sz w:val="24"/>
                <w:szCs w:val="24"/>
              </w:rPr>
              <w:t>Communication Strategy</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bottom"/>
            <w:hideMark/>
          </w:tcPr>
          <w:p w:rsidR="009A6A04" w:rsidRPr="006111B4" w:rsidRDefault="00D80027" w:rsidP="00E34556">
            <w:pPr>
              <w:spacing w:after="0"/>
              <w:rPr>
                <w:sz w:val="24"/>
                <w:szCs w:val="24"/>
              </w:rPr>
            </w:pPr>
            <w:r w:rsidRPr="006111B4">
              <w:rPr>
                <w:rFonts w:cs="Arial"/>
                <w:color w:val="000000"/>
                <w:sz w:val="24"/>
                <w:szCs w:val="24"/>
                <w:shd w:val="clear" w:color="auto" w:fill="FFFFFF"/>
              </w:rPr>
              <w:t xml:space="preserve">The </w:t>
            </w:r>
            <w:r w:rsidR="00302030">
              <w:rPr>
                <w:rFonts w:cs="Arial"/>
                <w:color w:val="000000"/>
                <w:sz w:val="24"/>
                <w:szCs w:val="24"/>
                <w:shd w:val="clear" w:color="auto" w:fill="FFFFFF"/>
              </w:rPr>
              <w:t>DLRI</w:t>
            </w:r>
            <w:r w:rsidRPr="006111B4">
              <w:rPr>
                <w:rFonts w:cs="Arial"/>
                <w:color w:val="000000"/>
                <w:sz w:val="24"/>
                <w:szCs w:val="24"/>
                <w:shd w:val="clear" w:color="auto" w:fill="FFFFFF"/>
              </w:rPr>
              <w:t xml:space="preserve"> plans to meet by teleconference every 3-4 weeks.   Minutes will be posted on the CGC’s Work Group website. Reports will be made </w:t>
            </w:r>
            <w:r w:rsidR="00E34556">
              <w:rPr>
                <w:rFonts w:cs="Arial"/>
                <w:color w:val="000000"/>
                <w:sz w:val="24"/>
                <w:szCs w:val="24"/>
                <w:shd w:val="clear" w:color="auto" w:fill="FFFFFF"/>
              </w:rPr>
              <w:t xml:space="preserve">during Council meetings </w:t>
            </w:r>
            <w:r w:rsidRPr="006111B4">
              <w:rPr>
                <w:rFonts w:cs="Arial"/>
                <w:color w:val="000000"/>
                <w:sz w:val="24"/>
                <w:szCs w:val="24"/>
                <w:shd w:val="clear" w:color="auto" w:fill="FFFFFF"/>
              </w:rPr>
              <w:t>or upon request.</w:t>
            </w:r>
          </w:p>
        </w:tc>
      </w:tr>
      <w:tr w:rsidR="009A6A04" w:rsidRPr="009A6A04" w:rsidTr="00D80027">
        <w:tc>
          <w:tcPr>
            <w:tcW w:w="1972"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9A6A04" w:rsidRPr="006111B4" w:rsidRDefault="00F53195" w:rsidP="00F53195">
            <w:pPr>
              <w:spacing w:after="0"/>
              <w:rPr>
                <w:b/>
                <w:sz w:val="24"/>
                <w:szCs w:val="24"/>
              </w:rPr>
            </w:pPr>
            <w:r>
              <w:rPr>
                <w:b/>
                <w:sz w:val="24"/>
                <w:szCs w:val="24"/>
              </w:rPr>
              <w:t xml:space="preserve">Workgroup Objectives </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bottom"/>
            <w:hideMark/>
          </w:tcPr>
          <w:p w:rsidR="00D80027" w:rsidRPr="006111B4" w:rsidRDefault="00D80027" w:rsidP="00D80027">
            <w:pPr>
              <w:spacing w:after="0"/>
              <w:rPr>
                <w:sz w:val="24"/>
                <w:szCs w:val="24"/>
              </w:rPr>
            </w:pPr>
            <w:r w:rsidRPr="006111B4">
              <w:rPr>
                <w:sz w:val="24"/>
                <w:szCs w:val="24"/>
              </w:rPr>
              <w:t>Success will be indicated by:</w:t>
            </w:r>
          </w:p>
          <w:p w:rsidR="00CE1FE4" w:rsidRDefault="00CE1FE4" w:rsidP="00CE1FE4">
            <w:pPr>
              <w:pStyle w:val="ListParagraph"/>
              <w:numPr>
                <w:ilvl w:val="0"/>
                <w:numId w:val="4"/>
              </w:numPr>
              <w:spacing w:after="0"/>
              <w:rPr>
                <w:sz w:val="24"/>
                <w:szCs w:val="24"/>
              </w:rPr>
            </w:pPr>
            <w:r>
              <w:rPr>
                <w:sz w:val="24"/>
                <w:szCs w:val="24"/>
              </w:rPr>
              <w:t>Maintain information about the current status of publicly available cadastral data.</w:t>
            </w:r>
          </w:p>
          <w:p w:rsidR="00D80027" w:rsidRDefault="00F53195" w:rsidP="00D80027">
            <w:pPr>
              <w:pStyle w:val="ListParagraph"/>
              <w:numPr>
                <w:ilvl w:val="0"/>
                <w:numId w:val="4"/>
              </w:numPr>
              <w:spacing w:after="0"/>
              <w:rPr>
                <w:sz w:val="24"/>
                <w:szCs w:val="24"/>
              </w:rPr>
            </w:pPr>
            <w:r>
              <w:rPr>
                <w:sz w:val="24"/>
                <w:szCs w:val="24"/>
              </w:rPr>
              <w:t xml:space="preserve">Document </w:t>
            </w:r>
            <w:r w:rsidR="00D80027" w:rsidRPr="006111B4">
              <w:rPr>
                <w:sz w:val="24"/>
                <w:szCs w:val="24"/>
              </w:rPr>
              <w:t xml:space="preserve">the value of a </w:t>
            </w:r>
            <w:r>
              <w:rPr>
                <w:sz w:val="24"/>
                <w:szCs w:val="24"/>
              </w:rPr>
              <w:t xml:space="preserve">publicly available </w:t>
            </w:r>
            <w:r w:rsidR="00D80027" w:rsidRPr="006111B4">
              <w:rPr>
                <w:sz w:val="24"/>
                <w:szCs w:val="24"/>
              </w:rPr>
              <w:t>statewide cadastral dataset.</w:t>
            </w:r>
          </w:p>
          <w:p w:rsidR="00302030" w:rsidRPr="006111B4" w:rsidRDefault="00F53195" w:rsidP="00D80027">
            <w:pPr>
              <w:pStyle w:val="ListParagraph"/>
              <w:numPr>
                <w:ilvl w:val="0"/>
                <w:numId w:val="4"/>
              </w:numPr>
              <w:spacing w:after="0"/>
              <w:rPr>
                <w:sz w:val="24"/>
                <w:szCs w:val="24"/>
              </w:rPr>
            </w:pPr>
            <w:r>
              <w:rPr>
                <w:sz w:val="24"/>
                <w:szCs w:val="24"/>
              </w:rPr>
              <w:t xml:space="preserve">Adoption by the Council of a recommended statewide cadastral data standard </w:t>
            </w:r>
            <w:r w:rsidR="00302030">
              <w:rPr>
                <w:sz w:val="24"/>
                <w:szCs w:val="24"/>
              </w:rPr>
              <w:t xml:space="preserve">(minimum </w:t>
            </w:r>
            <w:r>
              <w:rPr>
                <w:sz w:val="24"/>
                <w:szCs w:val="24"/>
              </w:rPr>
              <w:t>requirements</w:t>
            </w:r>
            <w:r w:rsidR="00302030">
              <w:rPr>
                <w:sz w:val="24"/>
                <w:szCs w:val="24"/>
              </w:rPr>
              <w:t>).</w:t>
            </w:r>
          </w:p>
          <w:p w:rsidR="00D80027" w:rsidRPr="006111B4" w:rsidRDefault="00302030" w:rsidP="00D80027">
            <w:pPr>
              <w:pStyle w:val="ListParagraph"/>
              <w:numPr>
                <w:ilvl w:val="0"/>
                <w:numId w:val="4"/>
              </w:numPr>
              <w:spacing w:after="0"/>
              <w:rPr>
                <w:sz w:val="24"/>
                <w:szCs w:val="24"/>
              </w:rPr>
            </w:pPr>
            <w:r>
              <w:rPr>
                <w:sz w:val="24"/>
                <w:szCs w:val="24"/>
              </w:rPr>
              <w:t xml:space="preserve">Finding an </w:t>
            </w:r>
            <w:r w:rsidR="00D80027" w:rsidRPr="006111B4">
              <w:rPr>
                <w:sz w:val="24"/>
                <w:szCs w:val="24"/>
              </w:rPr>
              <w:t>agency to steward the creation of a statewide dataset.</w:t>
            </w:r>
          </w:p>
          <w:p w:rsidR="00D80027" w:rsidRDefault="00D80027" w:rsidP="00D80027">
            <w:pPr>
              <w:pStyle w:val="ListParagraph"/>
              <w:numPr>
                <w:ilvl w:val="0"/>
                <w:numId w:val="4"/>
              </w:numPr>
              <w:spacing w:after="0"/>
              <w:rPr>
                <w:sz w:val="24"/>
                <w:szCs w:val="24"/>
              </w:rPr>
            </w:pPr>
            <w:r w:rsidRPr="006111B4">
              <w:rPr>
                <w:sz w:val="24"/>
                <w:szCs w:val="24"/>
              </w:rPr>
              <w:t>The release of a statewide dataset.</w:t>
            </w:r>
          </w:p>
          <w:p w:rsidR="00302030" w:rsidRPr="00302030" w:rsidRDefault="00302030" w:rsidP="00D80027">
            <w:pPr>
              <w:pStyle w:val="ListParagraph"/>
              <w:numPr>
                <w:ilvl w:val="0"/>
                <w:numId w:val="4"/>
              </w:numPr>
              <w:spacing w:after="0"/>
              <w:rPr>
                <w:sz w:val="28"/>
                <w:szCs w:val="24"/>
              </w:rPr>
            </w:pPr>
            <w:r w:rsidRPr="00302030">
              <w:rPr>
                <w:sz w:val="24"/>
              </w:rPr>
              <w:t xml:space="preserve">Provide </w:t>
            </w:r>
            <w:r>
              <w:rPr>
                <w:sz w:val="24"/>
              </w:rPr>
              <w:t xml:space="preserve">case studies of the benefits of </w:t>
            </w:r>
            <w:r w:rsidRPr="00302030">
              <w:rPr>
                <w:sz w:val="24"/>
              </w:rPr>
              <w:t>this dataset.</w:t>
            </w:r>
          </w:p>
          <w:p w:rsidR="009A6A04" w:rsidRPr="006111B4" w:rsidRDefault="00D80027" w:rsidP="009A6A04">
            <w:pPr>
              <w:pStyle w:val="ListParagraph"/>
              <w:numPr>
                <w:ilvl w:val="0"/>
                <w:numId w:val="4"/>
              </w:numPr>
              <w:spacing w:after="0"/>
              <w:rPr>
                <w:sz w:val="24"/>
                <w:szCs w:val="24"/>
              </w:rPr>
            </w:pPr>
            <w:r w:rsidRPr="006111B4">
              <w:rPr>
                <w:sz w:val="24"/>
                <w:szCs w:val="24"/>
              </w:rPr>
              <w:t>Others</w:t>
            </w:r>
            <w:r w:rsidR="00302030">
              <w:rPr>
                <w:sz w:val="24"/>
                <w:szCs w:val="24"/>
              </w:rPr>
              <w:t xml:space="preserve"> as determined by the Working Group.</w:t>
            </w:r>
            <w:r w:rsidRPr="006111B4">
              <w:rPr>
                <w:sz w:val="24"/>
                <w:szCs w:val="24"/>
              </w:rPr>
              <w:t xml:space="preserve"> </w:t>
            </w:r>
          </w:p>
        </w:tc>
      </w:tr>
      <w:tr w:rsidR="009A6A04" w:rsidRPr="009A6A04" w:rsidTr="00D80027">
        <w:tc>
          <w:tcPr>
            <w:tcW w:w="1972"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9A6A04" w:rsidRPr="006111B4" w:rsidRDefault="009A6A04" w:rsidP="00D80027">
            <w:pPr>
              <w:spacing w:after="0"/>
              <w:rPr>
                <w:b/>
                <w:sz w:val="24"/>
                <w:szCs w:val="24"/>
              </w:rPr>
            </w:pPr>
            <w:r w:rsidRPr="006111B4">
              <w:rPr>
                <w:b/>
                <w:sz w:val="24"/>
                <w:szCs w:val="24"/>
              </w:rPr>
              <w:t>Participants</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bottom"/>
          </w:tcPr>
          <w:p w:rsidR="009A6A04" w:rsidRPr="006111B4" w:rsidRDefault="00D80027" w:rsidP="00990779">
            <w:pPr>
              <w:spacing w:after="0"/>
              <w:rPr>
                <w:sz w:val="24"/>
                <w:szCs w:val="24"/>
              </w:rPr>
            </w:pPr>
            <w:r w:rsidRPr="006111B4">
              <w:rPr>
                <w:sz w:val="24"/>
                <w:szCs w:val="24"/>
              </w:rPr>
              <w:t>Mark Greninger, LA County, Chair</w:t>
            </w:r>
          </w:p>
          <w:p w:rsidR="00D80027" w:rsidRPr="006111B4" w:rsidRDefault="00D80027" w:rsidP="00990779">
            <w:pPr>
              <w:spacing w:after="0"/>
              <w:rPr>
                <w:sz w:val="24"/>
                <w:szCs w:val="24"/>
              </w:rPr>
            </w:pPr>
            <w:r w:rsidRPr="006111B4">
              <w:rPr>
                <w:sz w:val="24"/>
                <w:szCs w:val="24"/>
              </w:rPr>
              <w:t>Bruce Joffe, GIS Consultants</w:t>
            </w:r>
          </w:p>
          <w:p w:rsidR="00D80027" w:rsidRPr="006111B4" w:rsidRDefault="00D80027" w:rsidP="00990779">
            <w:pPr>
              <w:spacing w:after="0"/>
              <w:rPr>
                <w:sz w:val="24"/>
                <w:szCs w:val="24"/>
              </w:rPr>
            </w:pPr>
            <w:r w:rsidRPr="006111B4">
              <w:rPr>
                <w:sz w:val="24"/>
                <w:szCs w:val="24"/>
              </w:rPr>
              <w:t>Timothy McMonagle, US Census Bureau</w:t>
            </w:r>
          </w:p>
          <w:p w:rsidR="00D80027" w:rsidRPr="006111B4" w:rsidRDefault="00D80027" w:rsidP="00990779">
            <w:pPr>
              <w:spacing w:after="0"/>
              <w:rPr>
                <w:sz w:val="24"/>
                <w:szCs w:val="24"/>
              </w:rPr>
            </w:pPr>
            <w:r w:rsidRPr="006111B4">
              <w:rPr>
                <w:sz w:val="24"/>
                <w:szCs w:val="24"/>
              </w:rPr>
              <w:t>Walker Wieland</w:t>
            </w:r>
            <w:r w:rsidR="00302030">
              <w:rPr>
                <w:sz w:val="24"/>
                <w:szCs w:val="24"/>
              </w:rPr>
              <w:t>, CalEPA</w:t>
            </w:r>
          </w:p>
          <w:p w:rsidR="00D80027" w:rsidRPr="006111B4" w:rsidRDefault="00D80027" w:rsidP="00990779">
            <w:pPr>
              <w:spacing w:after="0"/>
              <w:rPr>
                <w:sz w:val="24"/>
                <w:szCs w:val="24"/>
              </w:rPr>
            </w:pPr>
            <w:r w:rsidRPr="006111B4">
              <w:rPr>
                <w:sz w:val="24"/>
                <w:szCs w:val="24"/>
              </w:rPr>
              <w:t>Sebastian Roberts, Nevada County</w:t>
            </w:r>
          </w:p>
          <w:p w:rsidR="00D80027" w:rsidRDefault="00D80027" w:rsidP="00990779">
            <w:pPr>
              <w:spacing w:after="0"/>
              <w:rPr>
                <w:sz w:val="24"/>
                <w:szCs w:val="24"/>
              </w:rPr>
            </w:pPr>
            <w:r w:rsidRPr="006111B4">
              <w:rPr>
                <w:sz w:val="24"/>
                <w:szCs w:val="24"/>
              </w:rPr>
              <w:t>Nathaniel Roth, California State Department of Conservation</w:t>
            </w:r>
          </w:p>
          <w:p w:rsidR="00CE1FE4" w:rsidRPr="006111B4" w:rsidRDefault="00CE1FE4" w:rsidP="005973A6">
            <w:pPr>
              <w:spacing w:after="0"/>
              <w:rPr>
                <w:sz w:val="24"/>
                <w:szCs w:val="24"/>
              </w:rPr>
            </w:pPr>
            <w:r>
              <w:rPr>
                <w:sz w:val="24"/>
                <w:szCs w:val="24"/>
              </w:rPr>
              <w:t xml:space="preserve">John Carotta, </w:t>
            </w:r>
            <w:r w:rsidR="005973A6">
              <w:rPr>
                <w:sz w:val="24"/>
                <w:szCs w:val="24"/>
              </w:rPr>
              <w:t xml:space="preserve">California </w:t>
            </w:r>
            <w:bookmarkStart w:id="0" w:name="_GoBack"/>
            <w:bookmarkEnd w:id="0"/>
            <w:r>
              <w:rPr>
                <w:sz w:val="24"/>
                <w:szCs w:val="24"/>
              </w:rPr>
              <w:t xml:space="preserve"> Department of Technology </w:t>
            </w:r>
          </w:p>
        </w:tc>
      </w:tr>
      <w:tr w:rsidR="009A6A04" w:rsidRPr="009A6A04" w:rsidTr="00D80027">
        <w:tc>
          <w:tcPr>
            <w:tcW w:w="1972"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9A6A04" w:rsidRPr="006111B4" w:rsidRDefault="009A6A04" w:rsidP="00D80027">
            <w:pPr>
              <w:spacing w:after="0"/>
              <w:rPr>
                <w:b/>
                <w:sz w:val="24"/>
                <w:szCs w:val="24"/>
              </w:rPr>
            </w:pPr>
            <w:r w:rsidRPr="006111B4">
              <w:rPr>
                <w:b/>
                <w:sz w:val="24"/>
                <w:szCs w:val="24"/>
              </w:rPr>
              <w:t>Contact</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bottom"/>
          </w:tcPr>
          <w:p w:rsidR="009A6A04" w:rsidRPr="006111B4" w:rsidRDefault="00D80027" w:rsidP="009A6A04">
            <w:pPr>
              <w:spacing w:after="0"/>
              <w:rPr>
                <w:sz w:val="24"/>
                <w:szCs w:val="24"/>
              </w:rPr>
            </w:pPr>
            <w:r w:rsidRPr="006111B4">
              <w:rPr>
                <w:sz w:val="24"/>
                <w:szCs w:val="24"/>
              </w:rPr>
              <w:t>Mark Greninger, LA County (</w:t>
            </w:r>
            <w:hyperlink r:id="rId7" w:history="1">
              <w:r w:rsidRPr="006111B4">
                <w:rPr>
                  <w:rStyle w:val="Hyperlink"/>
                  <w:sz w:val="24"/>
                  <w:szCs w:val="24"/>
                </w:rPr>
                <w:t>mgreninger@cio.lacounty.gov</w:t>
              </w:r>
            </w:hyperlink>
            <w:r w:rsidRPr="006111B4">
              <w:rPr>
                <w:sz w:val="24"/>
                <w:szCs w:val="24"/>
              </w:rPr>
              <w:t xml:space="preserve">) </w:t>
            </w:r>
          </w:p>
        </w:tc>
      </w:tr>
      <w:tr w:rsidR="009A6A04" w:rsidRPr="009A6A04" w:rsidTr="00D80027">
        <w:tc>
          <w:tcPr>
            <w:tcW w:w="1972"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center"/>
            <w:hideMark/>
          </w:tcPr>
          <w:p w:rsidR="009A6A04" w:rsidRPr="006111B4" w:rsidRDefault="009A6A04" w:rsidP="00D80027">
            <w:pPr>
              <w:spacing w:after="0"/>
              <w:rPr>
                <w:b/>
                <w:sz w:val="24"/>
                <w:szCs w:val="24"/>
              </w:rPr>
            </w:pPr>
            <w:r w:rsidRPr="006111B4">
              <w:rPr>
                <w:b/>
                <w:sz w:val="24"/>
                <w:szCs w:val="24"/>
              </w:rPr>
              <w:t>Definitions</w:t>
            </w:r>
          </w:p>
        </w:tc>
        <w:tc>
          <w:tcPr>
            <w:tcW w:w="8136" w:type="dxa"/>
            <w:tcBorders>
              <w:top w:val="single" w:sz="6" w:space="0" w:color="E3E3E3"/>
              <w:left w:val="single" w:sz="6" w:space="0" w:color="E3E3E3"/>
              <w:bottom w:val="single" w:sz="6" w:space="0" w:color="E3E3E3"/>
              <w:right w:val="single" w:sz="6" w:space="0" w:color="E3E3E3"/>
            </w:tcBorders>
            <w:shd w:val="clear" w:color="auto" w:fill="FFFFFF"/>
            <w:tcMar>
              <w:top w:w="75" w:type="dxa"/>
              <w:left w:w="120" w:type="dxa"/>
              <w:bottom w:w="75" w:type="dxa"/>
              <w:right w:w="120" w:type="dxa"/>
            </w:tcMar>
            <w:vAlign w:val="bottom"/>
          </w:tcPr>
          <w:p w:rsidR="009A6A04" w:rsidRPr="006111B4" w:rsidRDefault="00F1318D" w:rsidP="00990779">
            <w:pPr>
              <w:spacing w:after="0"/>
              <w:rPr>
                <w:sz w:val="24"/>
                <w:szCs w:val="24"/>
              </w:rPr>
            </w:pPr>
            <w:r w:rsidRPr="006111B4">
              <w:rPr>
                <w:sz w:val="24"/>
                <w:szCs w:val="24"/>
              </w:rPr>
              <w:t>DLRI</w:t>
            </w:r>
            <w:r w:rsidR="00E34556">
              <w:rPr>
                <w:sz w:val="24"/>
                <w:szCs w:val="24"/>
              </w:rPr>
              <w:t xml:space="preserve"> – Digital Land Records Information</w:t>
            </w:r>
          </w:p>
          <w:p w:rsidR="00F1318D" w:rsidRPr="006111B4" w:rsidRDefault="00F1318D" w:rsidP="00E34556">
            <w:pPr>
              <w:spacing w:after="0"/>
              <w:rPr>
                <w:sz w:val="24"/>
                <w:szCs w:val="24"/>
              </w:rPr>
            </w:pPr>
            <w:r w:rsidRPr="006111B4">
              <w:rPr>
                <w:sz w:val="24"/>
                <w:szCs w:val="24"/>
              </w:rPr>
              <w:t>Parcel</w:t>
            </w:r>
            <w:r w:rsidR="00E34556">
              <w:rPr>
                <w:sz w:val="24"/>
                <w:szCs w:val="24"/>
              </w:rPr>
              <w:t xml:space="preserve"> – T</w:t>
            </w:r>
            <w:r w:rsidR="00E34556" w:rsidRPr="00E34556">
              <w:rPr>
                <w:sz w:val="24"/>
                <w:szCs w:val="24"/>
              </w:rPr>
              <w:t>he geographic exte</w:t>
            </w:r>
            <w:r w:rsidR="00E34556">
              <w:rPr>
                <w:sz w:val="24"/>
                <w:szCs w:val="24"/>
              </w:rPr>
              <w:t xml:space="preserve">nt of past, current, and future </w:t>
            </w:r>
            <w:r w:rsidR="00E34556" w:rsidRPr="00E34556">
              <w:rPr>
                <w:sz w:val="24"/>
                <w:szCs w:val="24"/>
              </w:rPr>
              <w:t>right, title, and interest in real property, a</w:t>
            </w:r>
            <w:r w:rsidR="00E34556">
              <w:rPr>
                <w:sz w:val="24"/>
                <w:szCs w:val="24"/>
              </w:rPr>
              <w:t xml:space="preserve">nd the framework to support the </w:t>
            </w:r>
            <w:r w:rsidR="00E34556" w:rsidRPr="00E34556">
              <w:rPr>
                <w:sz w:val="24"/>
                <w:szCs w:val="24"/>
              </w:rPr>
              <w:t>description of that geographic extent.</w:t>
            </w:r>
          </w:p>
          <w:p w:rsidR="00F1318D" w:rsidRPr="006111B4" w:rsidRDefault="00E34556" w:rsidP="00990779">
            <w:pPr>
              <w:spacing w:after="0"/>
              <w:rPr>
                <w:sz w:val="24"/>
                <w:szCs w:val="24"/>
              </w:rPr>
            </w:pPr>
            <w:r>
              <w:rPr>
                <w:sz w:val="24"/>
                <w:szCs w:val="24"/>
              </w:rPr>
              <w:t>Cadastral – the ownership and other characteristic attributes of a parcel.</w:t>
            </w:r>
          </w:p>
        </w:tc>
      </w:tr>
    </w:tbl>
    <w:p w:rsidR="009A6A04" w:rsidRPr="009A6A04" w:rsidRDefault="009A6A04" w:rsidP="009A6A04">
      <w:pPr>
        <w:spacing w:after="0"/>
      </w:pPr>
      <w:r w:rsidRPr="009A6A04">
        <w:t> </w:t>
      </w:r>
    </w:p>
    <w:p w:rsidR="006111B4" w:rsidRDefault="006111B4"/>
    <w:sectPr w:rsidR="006111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8C" w:rsidRDefault="001F6A8C" w:rsidP="00D80027">
      <w:pPr>
        <w:spacing w:after="0" w:line="240" w:lineRule="auto"/>
      </w:pPr>
      <w:r>
        <w:separator/>
      </w:r>
    </w:p>
  </w:endnote>
  <w:endnote w:type="continuationSeparator" w:id="0">
    <w:p w:rsidR="001F6A8C" w:rsidRDefault="001F6A8C" w:rsidP="00D8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8C" w:rsidRDefault="001F6A8C" w:rsidP="00D80027">
      <w:pPr>
        <w:spacing w:after="0" w:line="240" w:lineRule="auto"/>
      </w:pPr>
      <w:r>
        <w:separator/>
      </w:r>
    </w:p>
  </w:footnote>
  <w:footnote w:type="continuationSeparator" w:id="0">
    <w:p w:rsidR="001F6A8C" w:rsidRDefault="001F6A8C" w:rsidP="00D80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27" w:rsidRDefault="00D80027">
    <w:pPr>
      <w:pStyle w:val="Header"/>
    </w:pPr>
    <w:r>
      <w:rPr>
        <w:rFonts w:ascii="Helvetica" w:hAnsi="Helvetica"/>
        <w:b/>
        <w:noProof/>
        <w:sz w:val="24"/>
        <w:szCs w:val="24"/>
      </w:rPr>
      <w:drawing>
        <wp:anchor distT="0" distB="0" distL="114300" distR="114300" simplePos="0" relativeHeight="251658240" behindDoc="0" locked="0" layoutInCell="1" allowOverlap="1">
          <wp:simplePos x="0" y="0"/>
          <wp:positionH relativeFrom="column">
            <wp:posOffset>190500</wp:posOffset>
          </wp:positionH>
          <wp:positionV relativeFrom="paragraph">
            <wp:posOffset>0</wp:posOffset>
          </wp:positionV>
          <wp:extent cx="5943600" cy="907415"/>
          <wp:effectExtent l="0" t="0" r="0" b="6985"/>
          <wp:wrapSquare wrapText="bothSides"/>
          <wp:docPr id="1" name="Picture 1" descr="GISCounc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Counci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74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80027" w:rsidRDefault="00D80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088"/>
    <w:multiLevelType w:val="hybridMultilevel"/>
    <w:tmpl w:val="DDC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21485"/>
    <w:multiLevelType w:val="multilevel"/>
    <w:tmpl w:val="E27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046BC"/>
    <w:multiLevelType w:val="hybridMultilevel"/>
    <w:tmpl w:val="CA96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C6234"/>
    <w:multiLevelType w:val="multilevel"/>
    <w:tmpl w:val="5108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A0616"/>
    <w:multiLevelType w:val="hybridMultilevel"/>
    <w:tmpl w:val="95068B70"/>
    <w:lvl w:ilvl="0" w:tplc="AA82DCC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01288"/>
    <w:multiLevelType w:val="hybridMultilevel"/>
    <w:tmpl w:val="CA96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04"/>
    <w:rsid w:val="00001F4E"/>
    <w:rsid w:val="00017439"/>
    <w:rsid w:val="000B622E"/>
    <w:rsid w:val="001F6A8C"/>
    <w:rsid w:val="002414C1"/>
    <w:rsid w:val="00302030"/>
    <w:rsid w:val="003A5C1A"/>
    <w:rsid w:val="0048574F"/>
    <w:rsid w:val="00527311"/>
    <w:rsid w:val="0056252C"/>
    <w:rsid w:val="005973A6"/>
    <w:rsid w:val="006111B4"/>
    <w:rsid w:val="006668F9"/>
    <w:rsid w:val="00736C66"/>
    <w:rsid w:val="0087280C"/>
    <w:rsid w:val="00990779"/>
    <w:rsid w:val="009907A8"/>
    <w:rsid w:val="009A6A04"/>
    <w:rsid w:val="00CE1FE4"/>
    <w:rsid w:val="00D80027"/>
    <w:rsid w:val="00E34556"/>
    <w:rsid w:val="00F1318D"/>
    <w:rsid w:val="00F2717F"/>
    <w:rsid w:val="00F5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B98DF9-8A2A-42D5-899C-CA700A94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68F9"/>
    <w:pPr>
      <w:ind w:left="720"/>
      <w:contextualSpacing/>
    </w:pPr>
  </w:style>
  <w:style w:type="character" w:styleId="CommentReference">
    <w:name w:val="annotation reference"/>
    <w:basedOn w:val="DefaultParagraphFont"/>
    <w:uiPriority w:val="99"/>
    <w:semiHidden/>
    <w:unhideWhenUsed/>
    <w:rsid w:val="00D80027"/>
    <w:rPr>
      <w:sz w:val="16"/>
      <w:szCs w:val="16"/>
    </w:rPr>
  </w:style>
  <w:style w:type="paragraph" w:styleId="CommentText">
    <w:name w:val="annotation text"/>
    <w:basedOn w:val="Normal"/>
    <w:link w:val="CommentTextChar"/>
    <w:uiPriority w:val="99"/>
    <w:semiHidden/>
    <w:unhideWhenUsed/>
    <w:rsid w:val="00D80027"/>
    <w:pPr>
      <w:spacing w:line="240" w:lineRule="auto"/>
    </w:pPr>
    <w:rPr>
      <w:sz w:val="20"/>
      <w:szCs w:val="20"/>
    </w:rPr>
  </w:style>
  <w:style w:type="character" w:customStyle="1" w:styleId="CommentTextChar">
    <w:name w:val="Comment Text Char"/>
    <w:basedOn w:val="DefaultParagraphFont"/>
    <w:link w:val="CommentText"/>
    <w:uiPriority w:val="99"/>
    <w:semiHidden/>
    <w:rsid w:val="00D80027"/>
    <w:rPr>
      <w:sz w:val="20"/>
      <w:szCs w:val="20"/>
    </w:rPr>
  </w:style>
  <w:style w:type="paragraph" w:styleId="BalloonText">
    <w:name w:val="Balloon Text"/>
    <w:basedOn w:val="Normal"/>
    <w:link w:val="BalloonTextChar"/>
    <w:uiPriority w:val="99"/>
    <w:semiHidden/>
    <w:unhideWhenUsed/>
    <w:rsid w:val="00D80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27"/>
    <w:rPr>
      <w:rFonts w:ascii="Segoe UI" w:hAnsi="Segoe UI" w:cs="Segoe UI"/>
      <w:sz w:val="18"/>
      <w:szCs w:val="18"/>
    </w:rPr>
  </w:style>
  <w:style w:type="character" w:styleId="Hyperlink">
    <w:name w:val="Hyperlink"/>
    <w:basedOn w:val="DefaultParagraphFont"/>
    <w:uiPriority w:val="99"/>
    <w:unhideWhenUsed/>
    <w:rsid w:val="00D80027"/>
    <w:rPr>
      <w:color w:val="0563C1" w:themeColor="hyperlink"/>
      <w:u w:val="single"/>
    </w:rPr>
  </w:style>
  <w:style w:type="paragraph" w:styleId="Header">
    <w:name w:val="header"/>
    <w:basedOn w:val="Normal"/>
    <w:link w:val="HeaderChar"/>
    <w:uiPriority w:val="99"/>
    <w:unhideWhenUsed/>
    <w:rsid w:val="00D80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027"/>
  </w:style>
  <w:style w:type="paragraph" w:styleId="Footer">
    <w:name w:val="footer"/>
    <w:basedOn w:val="Normal"/>
    <w:link w:val="FooterChar"/>
    <w:uiPriority w:val="99"/>
    <w:unhideWhenUsed/>
    <w:rsid w:val="00D8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153033">
      <w:bodyDiv w:val="1"/>
      <w:marLeft w:val="0"/>
      <w:marRight w:val="0"/>
      <w:marTop w:val="0"/>
      <w:marBottom w:val="0"/>
      <w:divBdr>
        <w:top w:val="none" w:sz="0" w:space="0" w:color="auto"/>
        <w:left w:val="none" w:sz="0" w:space="0" w:color="auto"/>
        <w:bottom w:val="none" w:sz="0" w:space="0" w:color="auto"/>
        <w:right w:val="none" w:sz="0" w:space="0" w:color="auto"/>
      </w:divBdr>
    </w:div>
    <w:div w:id="20752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reninger@cio.lacoun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Greninger</dc:creator>
  <cp:keywords/>
  <dc:description/>
  <cp:lastModifiedBy>Mark Greninger</cp:lastModifiedBy>
  <cp:revision>4</cp:revision>
  <dcterms:created xsi:type="dcterms:W3CDTF">2016-03-01T22:55:00Z</dcterms:created>
  <dcterms:modified xsi:type="dcterms:W3CDTF">2016-03-09T21:17:00Z</dcterms:modified>
</cp:coreProperties>
</file>